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H SarabunPSK" w:hAnsi="TH SarabunPSK"/>
          <w:b/>
          <w:color w:val="000000"/>
          <w:sz w:val="40"/>
        </w:rPr>
        <w:t>รายงานผลงานวิศวกรรมดีเด่น</w:t>
      </w:r>
    </w:p>
    <w:p>
      <w:pPr>
        <w:pStyle w:val="Heading2"/>
        <w:jc w:val="center"/>
      </w:pPr>
      <w:r>
        <w:rPr>
          <w:rFonts w:ascii="TH SarabunPSK" w:hAnsi="TH SarabunPSK"/>
          <w:b/>
          <w:color w:val="000000"/>
          <w:sz w:val="36"/>
        </w:rPr>
        <w:t>ชื่อโครงการ งานตรวจสอบและรับรองความปลอดภัยปั้นจั่นเหนือศีรษะ (Overhead Crane)</w:t>
        <w:br/>
        <w:t>พิกัดยกอย่างปลอดภัย (Safe Working Load) ขนาด [ 20 ] ตัน</w:t>
      </w:r>
    </w:p>
    <w:p>
      <w:r>
        <w:br/>
        <w:t>บริษัท: [ระบุชื่อบริษัทสถานประกอบการ เช่น บริษัท ทีบีเอสไรซ์มิลล์ จำกัด]</w:t>
      </w:r>
    </w:p>
    <w:p>
      <w:r>
        <w:t>ผลงานดีเด่นลำดับที่: [ระบุลำดับ]</w:t>
      </w:r>
    </w:p>
    <w:p>
      <w:r>
        <w:t>อยู่ในบัญชีแสดงผลงาน ลำดับที่: [ระบุลำดับ]</w:t>
      </w:r>
    </w:p>
    <w:p>
      <w:r>
        <w:t>เพื่อใช้ประกอบในการพิจารณาเลื่อนระดับ: [ระบุระดับ เช่น วุฒิวิศวกร] สาขา วิศวกรรมเครื่องกล</w:t>
      </w:r>
    </w:p>
    <w:p>
      <w:r>
        <w:t>ชื่อผู้ขอรับใบอนุญาต: [ระบุชื่อ-นามสกุลน้อง]</w:t>
      </w:r>
    </w:p>
    <w:p>
      <w:r>
        <w:t>เลขสมาชิก: [ระบุเลขสมาชิก] สย./วุ.: [ระบุเลขทะเบียน]</w:t>
      </w:r>
    </w:p>
    <w:p>
      <w:r>
        <w:br w:type="page"/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คำนำ</w:t>
      </w:r>
    </w:p>
    <w:p>
      <w:r>
        <w:t>รายงานฉบับนี้จัดทำขึ้นเพื่อใช้เป็นเอกสารประกอบการพิจารณาเลื่อนระดับใบอนุญาตประกอบวิชาชีพวิศวกรรมควบคุมเป็นระดับวุฒิวิศวกร สาขาวิศวกรรมเครื่องกล โดยมีวัตถุประสงค์เพื่อนำเสนอผลงานวิศวกรรมที่สะท้อนถึงความรู้ ความชำนาญ และประสบการณ์ในการดำเนินงานด้านวิศวกรรมที่มีความซับซ้อน ครอบคลุมการวิเคราะห์ การแก้ไขปัญหา และการตัดสินใจทางวิศวกรรม ภายใต้ความรับผิดชอบต่อความปลอดภัยของสาธารณะ สิ่งแวดล้อม และจรรยาบรรณวิชาชีพ</w:t>
      </w:r>
    </w:p>
    <w:p>
      <w:r>
        <w:t>รายงานฉบับนี้นำเสนอกรณีศึกษาโครงการตรวจสอบและทดสอบความปลอดภัยของปั้นจั่นเหนือศีรษะ (Overhead Crane) พิกัดยกอย่างปลอดภัย (Safe Working Load: SWL) ขนาด [20] ตัน ของ [ชื่อบริษัท] โดยผู้เขียนปฏิบัติหน้าที่ในบทบาท “วิศวกรผู้ควบคุมและตรวจสอบ” รับผิดชอบการวางแผน การตรวจสอบ การทดสอบการรับน้ำหนัก และการประเมินสภาพปั้นจั่นตามหลักวิศวกรรม</w:t>
      </w:r>
    </w:p>
    <w:p>
      <w:r>
        <w:t>ปั้นจั่นเป็นเครื่องจักรกลหนักที่ใช้งานในกระบวนการผลิตและซ่อมบำรุง ทำงานภายใต้สภาวะแรงเค้น พลศาสตร์ของการเคลื่อนที่ และการรับภาระน้ำหนักสูง หากขาดการควบคุม ตรวจสอบ หรือบำรุงรักษาอย่างเหมาะสม อาจก่อให้เกิดความเสียหายรุนแรงต่อชีวิต ทรัพย์สิน และกระบวนการผลิต โดยเฉพาะอุบัติเหตุจากการร่วงหล่นของวัสดุ (Load Dropping) หรือโครงสร้างวิบัติ (Structural Failure) ดังนั้น การตรวจสอบและรับรองความปลอดภัยจึงเป็นภารกิจสำคัญที่ต้องดำเนินการโดยวิศวกรผู้มีความรู้ความชำนาญ</w:t>
      </w:r>
    </w:p>
    <w:p>
      <w:r>
        <w:t>การดำเนินงานในโครงการนี้ครอบคลุมการตรวจสอบสภาพโครงสร้างหลัก การตรวจสอบความสมบูรณ์ของลวดสลิงและชุดตะขอด้วยเกณฑ์มาตรฐานสากล การทดสอบแบบไม่ทำลาย (Non-Destructive Testing: NDT) บริเวณรอยเชื่อมวิกฤต การทดสอบอุปกรณ์ความปลอดภัย (Safety Devices) และการทดสอบการรับน้ำหนักจริง (Load Test) ทั้งแบบพลวัต (Dynamic Test) และสถิตยศาสตร์ (Static Test) เพื่อยืนยันพฤติกรรมการโก่งตัว (Deflection) และประสิทธิภาพของระบบเบรก</w:t>
      </w:r>
    </w:p>
    <w:p>
      <w:r>
        <w:t>การตรวจสอบอ้างอิงตามกฎหมายและมาตรฐานที่เกี่ยวข้อง ได้แก่ กฎกระทรวงกำหนดมาตรฐานในการบริหาร จัดการ และดำเนินการด้านความปลอดภัย อาชีวอนามัย และสภาพแวดล้อมในการทำงานเกี่ยวกับเครื่องจักร ปั้นจั่น และหม้อน้ำ พ.ศ. 2564 มาตรฐาน ASME B30.2 และแนวทางการตรวจสอบของวิศวกรรมสถานแห่งประเทศไทย ในพระบรมราชูปถัมภ์ (วสท.)</w:t>
      </w:r>
    </w:p>
    <w:p>
      <w:r>
        <w:t>ผู้เขียนหวังว่ารายงานฉบับนี้จะสะท้อนให้เห็นถึงความสามารถในการประยุกต์ใช้หลักวิศวกรรมในการวิเคราะห์ แก้ไขปัญหา และตัดสินใจภายใต้ข้อจำกัดของสภาพการใช้งานจริง ตลอดจนแสดงถึงความรับผิดชอบต่อความปลอดภัยของสาธารณะและการยึดมั่นในจรรยาบรรณวิชาชีพ อันเป็นคุณสมบัติสำคัญของการเป็นวุฒิวิศวกรเครื่องกลตามหลักเกณฑ์ที่กำหนด</w:t>
      </w:r>
    </w:p>
    <w:p>
      <w:r>
        <w:br w:type="page"/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กิตติกรรมประกาศ</w:t>
      </w:r>
    </w:p>
    <w:p>
      <w:r>
        <w:t>รายงานฉบับนี้สำเร็จลุล่วงไปได้ด้วยดี ขอขอบพระคุณคณะผู้บริหารบริษัทฯ ที่ได้เล็งเห็นถึงความสำคัญของความปลอดภัยในสถานประกอบการ และให้การสนับสนุนข้าพเจ้าในการดำเนินการตรวจสอบและทดสอบปั้นจั่นเหนือศีรษะอย่างเต็มรูปแบบ</w:t>
      </w:r>
    </w:p>
    <w:p>
      <w:r>
        <w:t>ขอขอบพระคุณทีมงานความปลอดภัย (จป. วิชาชีพ) ช่างเทคนิคซ่อมบำรุง และผู้ควบคุมปั้นจั่นทุกท่าน ที่ให้ความร่วมมือในการประสานงาน หยุดเดินเครื่องจักร และอำนวยความสะดวกในการจัดเตรียมตุ้มน้ำหนักทดสอบ (Test Weights) ทำให้การปฏิบัติงานในพื้นที่ที่สูงและมีความเสี่ยงสำเร็จลุล่วงไปได้ด้วยความปลอดภัย</w:t>
      </w:r>
    </w:p>
    <w:p>
      <w:r>
        <w:t>ข้าพเจ้าหวังเป็นอย่างยิ่งว่า องค์ความรู้ ประสบการณ์ และผลสัมฤทธิ์จากการประเมินทางวิศวกรรมในรายงานฉบับนี้ จะเป็นประโยชน์ต่อวิชาชีพวิศวกรรมเครื่องกล และเป็นกรณีศึกษาเพื่อการยกระดับมาตรฐานความปลอดภัยในงานยกหิ้ว (Hoisting and Rigging) ของภาคอุตสาหกรรมต่อไป</w:t>
      </w:r>
    </w:p>
    <w:p>
      <w:r>
        <w:br w:type="page"/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สารบัญ</w:t>
      </w:r>
    </w:p>
    <w:p>
      <w:r>
        <w:t>คำนำ</w:t>
        <w:br/>
        <w:t>กิตติกรรมประกาศ</w:t>
        <w:br/>
        <w:t>บทนำ</w:t>
        <w:br/>
        <w:t>ลักษณะและขอบเขตของงานทางวิศวกรรมดีเด่น</w:t>
        <w:br/>
        <w:t>วัตถุประสงค์</w:t>
        <w:br/>
        <w:t>การสืบค้นทางเอกสารและข้อเท็จจริง</w:t>
        <w:br/>
        <w:t>หลักการทางวิศวกรรม แนวทางการทำงาน และการเลือกใช้วิธีการแก้ไขปัญหา</w:t>
        <w:br/>
        <w:t>ผลลัพธ์ของการแก้ไขปัญหาหรือการดำเนินงานทางวิศวกรรม</w:t>
        <w:br/>
        <w:t>การประเมินผลลัพธ์และผลกระทบของการแก้ไขปัญหา</w:t>
        <w:br/>
        <w:t>บทสรุป</w:t>
        <w:br/>
        <w:t>เอกสารอ้างอิง</w:t>
        <w:br/>
        <w:t>ภาคผนวก</w:t>
      </w:r>
    </w:p>
    <w:p>
      <w:r>
        <w:br w:type="page"/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บทนำ</w:t>
      </w:r>
    </w:p>
    <w:p>
      <w:r>
        <w:t>โครงการตรวจสอบและรับรองความปลอดภัยปั้นจั่นเหนือศีรษะ (Overhead Crane) พิกัดยก [20 ตัน] ของ [ชื่อบริษัท] เป็นงานวิศวกรรมที่มีความสำคัญต่อความปลอดภัยและความต่อเนื่องของกระบวนการผลิตในอุตสาหกรรม โดยปั้นจั่นเป็นเครื่องจักรหลักในการเคลื่อนย้ายชิ้นงานที่มีน้ำหนักมาก การทำงานที่ผิดพลาดเพียงเล็กน้อยอาจหมายถึงความสูญเสียมหาศาล</w:t>
      </w:r>
    </w:p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รูปที่ 1: ภาพรวมของปั้นจั่นเหนือศีรษะแบบคานคู่ (Double Girder Overhead Crane) ภายในโรงงาน</w:t>
      </w:r>
    </w:p>
    <w:p/>
    <w:p>
      <w:r>
        <w:t>ปั้นจั่นที่ทำการตรวจสอบเป็นประเภทคานคู่ (Double Girder Overhead Crane) โครงสร้างหลักประกอบด้วย คานหลัก (Main Girder) คานวิ่ง (End Carriage) รางวิ่ง (Runway Beam) ชุดรอกไฟฟ้า (Electric Wire Rope Hoist) และระบบควบคุมการเคลื่อนที่ไฟฟ้า</w:t>
      </w:r>
    </w:p>
    <w:p>
      <w:r>
        <w:t>เนื่องจากปั้นจั่นต้องรับภาระน้ำหนักแบบพลวัต (Dynamic Loading) ตลอดเวลา เกิดแรงกระทำทั้งในแนวดิ่ง (Vertical Load) แรงในแนวราบจากการเร่งและเบรก (Longitudinal &amp; Lateral Loads) รวมถึงแรงบิด (Torsional Load) กระทำต่อโครงสร้าง จึงต้องให้ความสำคัญกับการตรวจสอบรอยเชื่อม จุดเชื่อมต่อน็อต (Bolting) และการล้าทางกล (Mechanical Fatigue) เป็นพิเศษ</w:t>
      </w:r>
    </w:p>
    <w:p>
      <w:r>
        <w:t>ปั้นจั่นเครื่องนี้มีการใช้งานอย่างต่อเนื่องเป็นเวลานาน ซึ่งตามวัฏจักรการทำงาน (Duty Cycle) จะส่งผลให้เกิดการสึกหรอของลวดสลิง การเสื่อมสภาพของผ้าเบรก และโอกาสเกิดรอยร้าวขนาดเล็ก (Micro-cracks) ที่ตะขอ ผู้เขียนในฐานะวิศวกรผู้ควบคุม ได้ประยุกต์ใช้ทฤษฎีกลศาสตร์ประยุกต์ วัสดุศาสตร์ และความปลอดภัยทางวิศวกรรม เพื่อประเมินความพร้อมและยืดอายุการใช้งานเครื่องจักรอย่างปลอดภัย</w:t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ลักษณะและขอบเขตของงานทางวิศวกรรมดีเด่น</w:t>
      </w:r>
    </w:p>
    <w:p>
      <w:r>
        <w:t>โครงการนี้เป็นงานตรวจสอบและรับรองความปลอดภัยเชิงป้องกัน (Preventive Safety Inspection and Certification) สำหรับปั้นจั่นเหนือศีรษะ ซึ่งเป็นงานวิศวกรรมที่มีความซับซ้อนทั้งด้านโครงสร้างรับแรง (Structural Integrity) กลศาสตร์ของเครื่องจักรกล (Machinery Mechanics) และระบบควบคุมไฟฟ้าประยุกต์ โดยแบ่งขอบเขตการปฏิบัติงานเชิงลึกเป็น 5 ส่วนหลัก ได้แก่:</w:t>
      </w:r>
    </w:p>
    <w:p>
      <w:r>
        <w:t>1. การตรวจสอบโครงสร้างรับแรง (Structural System Inspection): ตรวจสอบความสมบูรณ์ของคานหลัก (Main Girder) รางวิ่ง (Runway) จุดรองรับ (Corbel) และการยึดต่อรอยเชื่อม เพื่อค้นหาการเสียรูป (Deformation) หรือรอยแตกจากการรับแรงสลับ (Fatigue Crack)</w:t>
      </w:r>
    </w:p>
    <w:p>
      <w:r>
        <w:t>2. การประเมินสภาพระบบยกและกลไก (Hoisting &amp; Mechanical Assessment): ตรวจวัดเปอร์เซ็นต์การสึกหรอของลวดสลิง (Wire Rope Diameter Reduction) ตรวจนับจำนวนลวดขาด (Broken Wires) ตรวจสอบความสึกหรอของร่องพูลเลย์ (Sheave Groove) และตรวจสอบระยะถ่างของปากตะขอ (Hook Throat Opening)</w:t>
      </w:r>
    </w:p>
    <w:p>
      <w:r>
        <w:t>3. การทดสอบแบบไม่ทำลาย (Non-Destructive Testing: NDT): ดำเนินการทดสอบด้วยวิธีสารแทรกซึม (Penetrant Testing: PT) หรือผงแม่เหล็ก (Magnetic Particle Testing: MT) บริเวณคอของตะขอ (Hook Shank) และรอยเชื่อมวิกฤตที่รับแรงเค้นสูง (High Stress Concentration Areas)</w:t>
      </w:r>
    </w:p>
    <w:p>
      <w:r>
        <w:t>4. การตรวจสอบระบบไฟฟ้าและอุปกรณ์นิรภัย (Electrical &amp; Safety Devices): ตรวจสอบระบบตัดการทำงานขีดสุด (Limit Switches) ขีดจำกัดการยกน้ำหนัก (Overload Limiter) สัญญาณเตือน (Alarm) และระบบกราวด์ (Grounding System)</w:t>
      </w:r>
    </w:p>
    <w:p>
      <w:r>
        <w:t>5. การทดสอบภาระกรรมทางกล (Load Testing):</w:t>
      </w:r>
    </w:p>
    <w:p>
      <w:r>
        <w:t xml:space="preserve">   - การทดสอบแบบพลวัต (Dynamic Load Test): ที่พิกัด 100% SWL เพื่อวัดระยะโก่งตัวของคาน (Deflection Measurement) และความราบรื่นในการเคลื่อนที่</w:t>
      </w:r>
    </w:p>
    <w:p>
      <w:r>
        <w:t xml:space="preserve">   - การทดสอบแบบสถิตยศาสตร์ (Static Load Test): ที่พิกัด 125% SWL เพื่อทดสอบประสิทธิภาพของระบบเบรก (Brake Holding Capacity) โดยต้องไม่มีการลื่นไถล (Slippage)</w:t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วัตถุประสงค์</w:t>
      </w:r>
    </w:p>
    <w:p>
      <w:r>
        <w:t>การตรวจสอบและรับรองความปลอดภัยของปั้นจั่นเหนือศีรษะในครั้งนี้ มีวัตถุประสงค์หลักเพื่อยืนยันความสมบูรณ์ของเครื่องจักร และป้องกันอุบัติเหตุในสถานประกอบการ โดยมีรายละเอียดดังนี้:</w:t>
      </w:r>
    </w:p>
    <w:p>
      <w:r>
        <w:t>1. เพื่อความปลอดภัยในชีวิตและทรัพย์สิน: ยืนยันความมั่นคงแข็งแรงของโครงสร้าง (Structural Integrity) และระบบอุปกรณ์ช่วยยก เพื่อป้องกันความเสี่ยงจากอุบัติเหตุชิ้นงานร่วงหล่น (Load Dropping) ซึ่งอาจทำให้สูญเสียชีวิตและเครื่องจักรในสายการผลิตเสียหาย</w:t>
      </w:r>
    </w:p>
    <w:p>
      <w:r>
        <w:t>2. เพื่อตรวจสอบและป้องกันเชิงรุก (Proactive Maintenance): อาศัยกระบวนการตรวจสอบแบบไม่ทำลาย (NDT) และการทดสอบระบบ (Functional Test) ในการค้นหาความเสื่อมสภาพ (เช่น รอยร้าว ลวดสลิงชำรุด หรือเบรกเสื่อม) ก่อนที่เครื่องจักรจะเกิดการวิบัติขณะใช้งาน</w:t>
      </w:r>
    </w:p>
    <w:p>
      <w:r>
        <w:t>3. เพื่อยืนยันสมรรถนะการรับน้ำหนัก (Load Capacity Verification): ดำเนินการทดสอบรับภาระที่พิกัด 100% และ 125% SWL เพื่อประเมินค่าการโก่งตัวของคาน (Deflection) และความสามารถในการหยุดยั้งของระบบเบรก ให้เป็นไปตามหลักวิศวกรรม</w:t>
      </w:r>
    </w:p>
    <w:p>
      <w:r>
        <w:t>4. เพื่อให้เป็นไปตามข้อกำหนดทางกฎหมาย: ดำเนินการตรวจสอบและออกเอกสารรับรองความปลอดภัยของปั้นจั่น (แบบ ปจ.1) ตามที่กฎหมายกรมสวัสดิการและคุ้มครองแรงงานกำหนด</w:t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การสืบค้นทางเอกสารและข้อเท็จจริง</w:t>
      </w:r>
    </w:p>
    <w:p>
      <w:r>
        <w:t>การดำเนินงานตรวจสอบเริ่มต้นจากการสืบค้นข้อมูลทางเอกสารและการวิเคราะห์ข้อเท็จจริงอย่างเป็นระบบ ดังนี้:</w:t>
      </w:r>
    </w:p>
    <w:p>
      <w:r>
        <w:t>1. ข้อมูลจำเพาะทางวิศวกรรม (Technical Specifications):</w:t>
      </w:r>
    </w:p>
    <w:p>
      <w:r>
        <w:t xml:space="preserve">   - ประเภท: ปั้นจั่นเหนือศีรษะแบบคานคู่ (Double Girder Overhead Crane)</w:t>
      </w:r>
    </w:p>
    <w:p>
      <w:r>
        <w:t xml:space="preserve">   - พิกัดยกอย่างปลอดภัย (Safe Working Load - SWL): [ 20 ] ตัน</w:t>
      </w:r>
    </w:p>
    <w:p>
      <w:r>
        <w:t xml:space="preserve">   - ระยะช่วงคาน (Span): [ 15 ] เมตร</w:t>
      </w:r>
    </w:p>
    <w:p>
      <w:r>
        <w:t xml:space="preserve">   - ระยะยกสูง (Lift Height): [ 10 ] เมตร</w:t>
      </w:r>
    </w:p>
    <w:p>
      <w:r>
        <w:t xml:space="preserve">   - ข้อกำหนดลวดสลิง: IWRC 6x36 (หรือตามสเปกจริง), ขนาดเส้นผ่านศูนย์กลางออกแบบ [ 16.0 ] มม.</w:t>
      </w:r>
    </w:p>
    <w:p>
      <w:r>
        <w:t>2. การทบทวนข้อกำหนดกฎหมายและมาตรฐานสากล (Regulatory &amp; Standard Review):</w:t>
      </w:r>
    </w:p>
    <w:p>
      <w:r>
        <w:t xml:space="preserve">   - กฎกระทรวง กำหนดมาตรฐานในการบริหาร จัดการ และดำเนินการด้านความปลอดภัย อาชีวอนามัย และสภาพแวดล้อมในการทำงานเกี่ยวกับเครื่องจักร ปั้นจั่น และหม้อน้ำ พ.ศ. 2564</w:t>
      </w:r>
    </w:p>
    <w:p>
      <w:r>
        <w:t xml:space="preserve">   - ประกาศกรมสวัสดิการและคุ้มครองแรงงาน เรื่อง หลักเกณฑ์และวิธีการทดสอบส่วนประกอบและอุปกรณ์ของปั้นจั่น</w:t>
      </w:r>
    </w:p>
    <w:p>
      <w:r>
        <w:t xml:space="preserve">   - มาตรฐาน ASME B30.2 Overhead and Gantry Cranes</w:t>
      </w:r>
    </w:p>
    <w:p>
      <w:r>
        <w:t xml:space="preserve">   - มาตรฐาน ASME B30.10 Hooks</w:t>
      </w:r>
    </w:p>
    <w:p>
      <w:r>
        <w:t xml:space="preserve">   - มาตรฐาน ISO 4309 Cranes - Wire ropes - Care and maintenance, inspection and discard</w:t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หลักการทางวิศวกรรม แนวทางการทำงาน และการเลือกใช้วิธีการแก้ไขปัญหา</w:t>
      </w:r>
    </w:p>
    <w:p>
      <w:r>
        <w:t>วิศวกรผู้ตรวจได้ประยุกต์ใช้หลักการทางวิศวกรรมเครื่องกลในการวิเคราะห์สภาพปั้นจั่นเชิงลึก โดยมีแนวทางการประเมินตามหลักวิชาการ ดังนี้:</w:t>
      </w:r>
    </w:p>
    <w:p>
      <w:r>
        <w:t>1. หลักการประเมินระยะโก่งตัวของคาน (Girder Deflection Analysis)</w:t>
      </w:r>
    </w:p>
    <w:p>
      <w:r>
        <w:t>ระยะโก่งตัว (Deflection) เป็นตัวชี้วัดความแข็งเกร็ง (Stiffness) ของโครงสร้าง การทดสอบดำเนินการโดยยกน้ำหนัก 100% SWL มาไว้ที่จุดกึ่งกลางคาน (Mid-span) ซึ่งเป็นจุดที่มีโมเมนต์ดัดสูงสุด (Maximum Bending Moment) ตามทฤษฎีคานรับน้ำหนักแบบจุด (Point Load on Simply Supported Beam) ค่าระยะโก่งที่ยอมรับได้อ้างอิงตามมาตรฐาน CMAA 70 หรือ วสท. กำหนดไว้ที่อัตราส่วน Span/600 ถึง Span/888 ขึ้นอยู่กับคลาสการใช้งาน หากพบการโก่งตัวเกินกว่าที่คำนวณได้ แสดงถึงการเสื่อมสภาพของโครงสร้างที่อาจนำไปสู่การเสียรูปถาวร (Plastic Deformation)</w:t>
      </w:r>
    </w:p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รูปที่ 2: การวัดระยะโก่งตัว (Deflection) ของคานหลักด้วยกล้องวัดระยะเลเซอร์ (Laser Distance Meter)</w:t>
      </w:r>
    </w:p>
    <w:p/>
    <w:p>
      <w:r>
        <w:t>2. หลักการประเมินการเสื่อมสภาพของลวดสลิง (Wire Rope Discard Criteria)</w:t>
      </w:r>
    </w:p>
    <w:p>
      <w:r>
        <w:t>อ้างอิงตาม ISO 4309 การเสื่อมสภาพของลวดสลิงคำนวณจากการลดลงของเส้นผ่านศูนย์กลาง (Diameter Reduction) และเส้นลวดขาด (Broken Wires) ลวดสลิงจะถูกสั่งปลดระวางทันทีเมื่อ:</w:t>
      </w:r>
    </w:p>
    <w:p>
      <w:r>
        <w:t xml:space="preserve">   - เส้นผ่านศูนย์กลางลดลงเกิน 5% - 7% ของขนาดปกติ (เนื่องจากการสึกหรอและแรงดึง)</w:t>
      </w:r>
    </w:p>
    <w:p>
      <w:r>
        <w:t xml:space="preserve">   - พบลวดขาดแบบกระจาย (Randomly distributed broken wires) เกิน 6 เส้นในระยะ 1 ช่วงเกลียว (1 Lay Length) หรือขาดรวมกระจุก (Concentrated) เกิน 3 เส้นใน 1 เกลียวรอง (1 Strand)</w:t>
      </w:r>
    </w:p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รูปที่ 3: การใช้เวอร์เนียคาลิปเปอร์วัดขนาดเส้นผ่านศูนย์กลางของลวดสลิงในจุดที่มีการใช้งานหนักสุด</w:t>
      </w:r>
    </w:p>
    <w:p/>
    <w:p>
      <w:r>
        <w:t>3. หลักการประเมินตะขอและชิ้นส่วนรับแรง (Hook &amp; Lifting Gears Evaluation)</w:t>
      </w:r>
    </w:p>
    <w:p>
      <w:r>
        <w:t>อ้างอิงมาตรฐาน ASME B30.10 ตะขอต้องถูกระงับการใช้งานหากพบสภาพดังนี้:</w:t>
      </w:r>
    </w:p>
    <w:p>
      <w:r>
        <w:t xml:space="preserve">   - ปากตะขอถ่างออก (Throat Opening) เกิน 15% ของขนาดดั้งเดิม</w:t>
      </w:r>
    </w:p>
    <w:p>
      <w:r>
        <w:t xml:space="preserve">   - ตะขอบิดงอ (Twist) ออกจากระนาบเกิน 10 องศา</w:t>
      </w:r>
    </w:p>
    <w:p>
      <w:r>
        <w:t xml:space="preserve">   - การสึกหรอที่ฐานรับน้ำหนัก (Saddle Wear) เกิน 10% ของความหนาเดิม</w:t>
      </w:r>
    </w:p>
    <w:p>
      <w:r>
        <w:t xml:space="preserve">   - พบรอยร้าว (Cracks) จากการทำ NDT บริเวณคอหรือเกลียวตะขอ</w:t>
      </w:r>
    </w:p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รูปที่ 4: การตรวจสอบตะขอด้วยวิธีสารแทรกซึม (Penetrant Testing: PT) เพื่อหารอยร้าวระดับไมโคร</w:t>
      </w:r>
    </w:p>
    <w:p/>
    <w:p>
      <w:r>
        <w:t>4. หลักการทดสอบการรับภาระทางสถิตยศาสตร์ (Static Load Test - 125% SWL)</w:t>
      </w:r>
    </w:p>
    <w:p>
      <w:r>
        <w:t>การอัดภาระที่ 1.25 เท่าของน้ำหนักปลอดภัย (Safe Working Load) เป็นการสร้าง Overload Factor เพื่อทดสอบความสามารถในการยึดจับของระบบเบรกรอก (Hoist Brake) การทดสอบดำเนินการโดยยกน้ำหนักให้ลอยพ้นพื้น 10-20 ซม. และหยุดค้างไว้เป็นเวลา 10-15 นาที ระบบเบรกต้องต้านทานแรงบิดกระทำจากโหลดได้สมบูรณ์ โดยต้องตรวจไม่พบการขยับตัว (Slippage) หรือการรูดของโหลดลงสู่พื้น</w:t>
      </w:r>
    </w:p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รูปที่ 5: การเตรียมตุ้มน้ำหนักเหล็ก (Test Weights) สำหรับการทดสอบ 125% SWL</w:t>
      </w:r>
    </w:p>
    <w:p/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ผลลัพธ์ของการแก้ไขปัญหาหรือการดำเนินงานทางวิศวกรรม</w:t>
      </w:r>
    </w:p>
    <w:p>
      <w:r>
        <w:t>จากการดำเนินงานตรวจสอบและทดสอบเชิงลึก พบผลลัพธ์การประเมินดังต่อไปนี้ (รายละเอียดฉบับเต็มแสดงในภาคผนวก):</w:t>
      </w:r>
    </w:p>
    <w:p>
      <w:r>
        <w:t>1. ผลการตรวจสภาพโครงสร้าง (Structural Integrity)</w:t>
      </w:r>
    </w:p>
    <w:p>
      <w:r>
        <w:t>โครงสร้างคานหลัก รางวิ่ง เสารองรับ และชุดคานล้อ (End Carriage) อยู่ในสภาพมั่นคง รอยเชื่อมบริเวณรอยต่อสำคัญไม่พบรอยแตกร้าวจากการทดสอบสายตา (VT) น็อตยึด (Bolting) โครงสร้างอยู่ในสถานะยึดแน่น ไม่มีรอยสนิมกัดกร่อนที่ทำให้หน้าตัดรับแรงลดลง ถือว่าโครงสร้างมีความสมบูรณ์เชิงกล (Mechanical Integrity) ผ่านเกณฑ์มาตรฐาน</w:t>
      </w:r>
    </w:p>
    <w:p>
      <w:r>
        <w:t>2. ผลการตรวจสอบลวดสลิงและตะขอ (Wire Rope &amp; Hook Assessment)</w:t>
      </w:r>
    </w:p>
    <w:p>
      <w:r>
        <w:t>ลวดสลิงยกน้ำหนักมีขนาดเส้นผ่านศูนย์กลางวัดได้จริงลดลง [ 3.5% ] ซึ่งยังอยู่ในเกณฑ์ปลอดภัย (ไม่เกิน 5%) ไม่พบการแตกตีเกลียว หักงอ (Kinking) หรือเส้นลวดขาดเกินเกณฑ์ สำหรับชุดตะขอ วัดการถ่างออกของปากตะขอเพิ่มขึ้นเพียง [ 2% ] ไม่พบการบิดตัว และผลการทำ PT บริเวณคอและเกลียวของตะขอไม่พบรอยร้าวร้าว (No Indication of Cracks)</w:t>
      </w:r>
    </w:p>
    <w:p>
      <w:r>
        <w:t>3. ผลการทดสอบระยะโก่งตัวของคาน (Deflection Test Results)</w:t>
      </w:r>
    </w:p>
    <w:p>
      <w:r>
        <w:t>ในการทดสอบ Dynamic Load Test ที่ 100% SWL (น้ำหนัก 20 ตัน) วัดระยะโก่งตัวสูงสุดที่กึ่งกลางคานได้ [ 18 ] มิลลิเมตร เมื่อเปรียบเทียบกับเกณฑ์ที่ยอมรับได้ (Allowable Deflection = Span/600 = 15,000/600 = 25 มิลลิเมตร) พบว่าค่าการโก่งตัวอยู่ในเกณฑ์ที่ปลอดภัย โครงสร้างคานมีความแข็งเกร็ง (Stiffness) เพียงพอ และคืนรูปกลับสู่ระดับเดิม 100% (Elastic Recovery) เมื่อวางโหลดลง</w:t>
      </w:r>
    </w:p>
    <w:p>
      <w:r>
        <w:t>4. ผลการทดสอบความสามารถของระบบเบรก (Static Load Test 125% SWL)</w:t>
      </w:r>
    </w:p>
    <w:p>
      <w:r>
        <w:t>เมื่อดำเนินการยกน้ำหนักทดสอบที่ [ 25 ตัน ] (125% ของพิกัด) รอกสามารถยกโหลดขึ้นจากพื้นได้ และเมื่อทำการเบรกหยุดค้างไว้เป็นเวลา 15 นาที พบว่าโหลดไม่มีการทรุดตัวหรือลื่นไถล (No Load Drop/Slippage) ยืนยันว่าระบบเบรกมอเตอร์รอก (Hoist Motor Brake) มีสมรรถนะการยึดจับ (Holding Torque) สมบูรณ์แบบตามทฤษฎีกลศาสตร์เครื่องจักรกล</w:t>
      </w:r>
    </w:p>
    <w:p>
      <w:r>
        <w:t>5. ผลการทดสอบระบบควบคุมและอุปกรณ์ความปลอดภัย (Safety Devices Functional Test)</w:t>
      </w:r>
    </w:p>
    <w:p>
      <w:r>
        <w:t>สวิตช์จำกัดระยะ (Upper/Lower Limit Switches) ตัดวงจรการทำงานของมอเตอร์ได้อย่างแม่นยำก่อนที่รอกจะชนกับโครงสร้าง ระบบตัดการทำงานเมื่อโหลดเกิน (Overload Limiter) ตอบสนองและตัดการยกขึ้นทันทีเมื่อมีภาระโหลดมากกว่า 110% SWL สวิตช์ฉุกเฉิน (Emergency Stop) และสัญญาณเตือนแสง/เสียง ทำงานสอดคล้องกันอย่างสมบูรณ์แบบ (Fail-Safe Functionality)</w:t>
      </w:r>
    </w:p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รูปที่ 6: การทดสอบการตัดการทำงานของระบบ Overload Limit Switch</w:t>
      </w:r>
    </w:p>
    <w:p/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การประเมินผลลัพธ์และผลกระทบของการแก้ไขปัญหา</w:t>
      </w:r>
    </w:p>
    <w:p>
      <w:r>
        <w:t>การประเมินผลลัพธ์ของการตรวจสอบและรับรองความปลอดภัยปั้นจั่น ก่อให้เกิดผลกระทบเชิงบวกในมิติต่างๆ ดังนี้:</w:t>
      </w:r>
    </w:p>
    <w:p>
      <w:r>
        <w:t>ด้านความปลอดภัย (Safety Impact): การทดสอบระบบเบรกด้วยน้ำหนัก 125% และการตรวจสอบลวดสลิงอย่างเข้มงวด ช่วยลดความเสี่ยง (Risk Mitigation) ต่อการเกิดอุบัติเหตุวัสดุตกหล่น (Load Drop) ซึ่งเป็นอันตรายระดับวิกฤต (Catastrophic Hazard) ต่อพนักงานที่ปฏิบัติงานในบริเวณใกล้เคียง</w:t>
      </w:r>
    </w:p>
    <w:p>
      <w:r>
        <w:t>ด้านความมั่นคงแข็งแรง (Structural Integrity): ผลการทดสอบ Deflection ภายในเกณฑ์ที่กำหนด ยืนยันว่าปั้นจั่นมีปัจจัยความปลอดภัย (Factor of Safety) เพียงพอต่อการรองรับวัฏจักรการทำงานในปัจจุบันโดยไม่เกิดความล้า (Fatigue) สะสมจนวิบัติ</w:t>
      </w:r>
    </w:p>
    <w:p>
      <w:r>
        <w:t>ด้านความน่าเชื่อถือของระบบ (Reliability &amp; Productivity): การที่อุปกรณ์ความปลอดภัย เช่น Limit Switch และ Overload ทำงานได้ตามฟังก์ชัน ช่วยป้องกันความเสียหายต่อมอเตอร์และโครงสร้างรอก ส่งผลให้กระบวนการผลิตลดโอกาสหยุดชะงัก (Unplanned Downtime)</w:t>
      </w:r>
    </w:p>
    <w:p>
      <w:r>
        <w:t>ด้านการปฏิบัติตามกฎหมาย (Compliance): การดำเนินงานตรวจสอบและทดสอบทั้งหมดเป็นไปตามหลักเกณฑ์ของกรมสวัสดิการและคุ้มครองแรงงาน วิศวกรผู้ตรวจจึงให้การรับรองเอกสาร ปจ.1 อย่างถูกต้องตามหลักวิชาชีพและกฎหมาย</w:t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บทสรุป</w:t>
      </w:r>
    </w:p>
    <w:p>
      <w:r>
        <w:t>รายงานฉบับนี้นำเสนอผลการดำเนินงานวิศวกรรมด้านการตรวจสอบและรับรองความปลอดภัยปั้นจั่นเหนือศีรษะแบบคานคู่ ขนาดพิกัดยก [ 20 ] ตัน ของ [ชื่อบริษัท] ซึ่งเป็นงานวิศวกรรมที่บูรณาการองค์ความรู้ด้านกลศาสตร์ของแข็ง (Solid Mechanics) พลศาสตร์ (Dynamics) การทดสอบวัสดุ (Materials Testing) และวิศวกรรมความปลอดภัยเข้าด้วยกันอย่างเป็นระบบ</w:t>
      </w:r>
    </w:p>
    <w:p>
      <w:r>
        <w:t>กระบวนการดำเนินงานครอบคลุมตั้งแต่การตรวจสอบสภาพโครงสร้าง การประเมินลวดสลิง การทดสอบแบบไม่ทำลาย (NDT) การทดสอบระยะโก่งตัวของคาน และการทดสอบภาระเกิน 125% เพื่อรับรองเสถียรภาพของระบบเบรก ผลการตรวจสอบยืนยันว่าปั้นจั่นมีความมั่นคงแข็งแรง อุปกรณ์นิรภัยทำงานประสานกันอย่างสมบูรณ์แบบ วิศวกรผู้ตรวจจึงให้การรับรองความปลอดภัย (ออกเอกสาร ปจ.1) เพื่อให้สามารถใช้งานต่อเนื่องได้</w:t>
      </w:r>
    </w:p>
    <w:p>
      <w:r>
        <w:t>ผลลัพธ์ของโครงการช่วยยกระดับมาตรฐานความปลอดภัยในสถานประกอบการ ลดความเสี่ยงต่ออุบัติภัยร้ายแรง สะท้อนถึงการประยุกต์ใช้ความรู้ทางวิศวกรรมเครื่องกลชั้นสูงในการควบคุมคุณภาพและความปลอดภัย สอดคล้องตามจรรยาบรรณแห่งวิชาชีพวิศวกรรม อันเป็นคุณสมบัติของการปฏิบัติงานในระดับวุฒิวิศวกร</w:t>
      </w:r>
    </w:p>
    <w:p>
      <w:r>
        <w:br w:type="page"/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เอกสารอ้างอิง</w:t>
      </w:r>
    </w:p>
    <w:p>
      <w:r>
        <w:t>1. กระทรวงแรงงาน. กฎกระทรวง กำหนดมาตรฐานในการบริหาร จัดการ และดำเนินการด้านความปลอดภัย อาชีวอนามัย และสภาพแวดล้อมในการทำงานเกี่ยวกับเครื่องจักร ปั้นจั่น และหม้อน้ำ พ.ศ. 2564.</w:t>
      </w:r>
    </w:p>
    <w:p>
      <w:r>
        <w:t>2. กรมสวัสดิการและคุ้มครองแรงงาน. ประกาศกรมสวัสดิการและคุ้มครองแรงงาน เรื่อง หลักเกณฑ์และวิธีการทดสอบส่วนประกอบและอุปกรณ์ของปั้นจั่น พ.ศ. 2564.</w:t>
      </w:r>
    </w:p>
    <w:p>
      <w:r>
        <w:t>3. วิศวกรรมสถานแห่งประเทศไทย ในพระบรมราชูปถัมภ์ (วสท.). มาตรฐานความปลอดภัยปั้นจั่นและรอก.</w:t>
      </w:r>
    </w:p>
    <w:p>
      <w:r>
        <w:t>4. The American Society of Mechanical Engineers (ASME). ASME B30.2: Overhead and Gantry Cranes.</w:t>
      </w:r>
    </w:p>
    <w:p>
      <w:r>
        <w:t>5. The American Society of Mechanical Engineers (ASME). ASME B30.10: Hooks.</w:t>
      </w:r>
    </w:p>
    <w:p>
      <w:r>
        <w:t>6. International Organization for Standardization (ISO). ISO 4309: Cranes - Wire ropes - Care and maintenance, inspection and discard.</w:t>
      </w:r>
    </w:p>
    <w:p>
      <w:r>
        <w:br w:type="page"/>
      </w:r>
    </w:p>
    <w:p>
      <w:pPr>
        <w:pStyle w:val="Heading1"/>
      </w:pPr>
      <w:r>
        <w:rPr>
          <w:rFonts w:ascii="TH SarabunPSK" w:hAnsi="TH SarabunPSK"/>
          <w:b/>
          <w:color w:val="000000"/>
          <w:sz w:val="40"/>
        </w:rPr>
        <w:t>ภาคผนวก</w:t>
      </w:r>
    </w:p>
    <w:p>
      <w:pPr>
        <w:pStyle w:val="Heading2"/>
      </w:pPr>
      <w:r>
        <w:rPr>
          <w:rFonts w:ascii="TH SarabunPSK" w:hAnsi="TH SarabunPSK"/>
          <w:b/>
          <w:color w:val="000000"/>
          <w:sz w:val="36"/>
        </w:rPr>
        <w:t>ภาคผนวก ก: ผลการตรวจสอบสภาพทางกายภาพและโครงสร้างภายนอก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รายการตรวจสอบ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วิธีการตรวจสอบ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มาตรฐานอ้างอิง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เกณฑ์การยอมรับ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ผลการตรวจสอบ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ประเมินผล</w:t>
            </w:r>
          </w:p>
        </w:tc>
      </w:tr>
      <w:tr>
        <w:tc>
          <w:tcPr>
            <w:tcW w:type="dxa" w:w="1440"/>
          </w:tcPr>
          <w:p>
            <w:r>
              <w:t>คานหลัก (Main Girder)</w:t>
            </w:r>
          </w:p>
        </w:tc>
        <w:tc>
          <w:tcPr>
            <w:tcW w:type="dxa" w:w="1440"/>
          </w:tcPr>
          <w:p>
            <w:r>
              <w:t>Visual Inspection</w:t>
            </w:r>
          </w:p>
        </w:tc>
        <w:tc>
          <w:tcPr>
            <w:tcW w:type="dxa" w:w="1440"/>
          </w:tcPr>
          <w:p>
            <w:r>
              <w:t>ASME B30.2 / กฎหมายไทย</w:t>
            </w:r>
          </w:p>
        </w:tc>
        <w:tc>
          <w:tcPr>
            <w:tcW w:type="dxa" w:w="1440"/>
          </w:tcPr>
          <w:p>
            <w:r>
              <w:t>ต้องไม่พบรอยแตกร้าว การเสียรูป หรือสนิมรุนแรง</w:t>
            </w:r>
          </w:p>
        </w:tc>
        <w:tc>
          <w:tcPr>
            <w:tcW w:type="dxa" w:w="1440"/>
          </w:tcPr>
          <w:p>
            <w:r>
              <w:t>สภาพปกติ ไม่พบการเสียรูปหรือรอยร้าว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รอยต่อคานและคานวิ่ง (Connections)</w:t>
            </w:r>
          </w:p>
        </w:tc>
        <w:tc>
          <w:tcPr>
            <w:tcW w:type="dxa" w:w="1440"/>
          </w:tcPr>
          <w:p>
            <w:r>
              <w:t>Visual / NDT</w:t>
            </w:r>
          </w:p>
        </w:tc>
        <w:tc>
          <w:tcPr>
            <w:tcW w:type="dxa" w:w="1440"/>
          </w:tcPr>
          <w:p>
            <w:r>
              <w:t>ASME B30.2</w:t>
            </w:r>
          </w:p>
        </w:tc>
        <w:tc>
          <w:tcPr>
            <w:tcW w:type="dxa" w:w="1440"/>
          </w:tcPr>
          <w:p>
            <w:r>
              <w:t>น็อตยึดแน่น รอยเชื่อมไม่มีรอยร้าว</w:t>
            </w:r>
          </w:p>
        </w:tc>
        <w:tc>
          <w:tcPr>
            <w:tcW w:type="dxa" w:w="1440"/>
          </w:tcPr>
          <w:p>
            <w:r>
              <w:t>จุดยึดแน่น รอยเชื่อมสมบูรณ์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รางวิ่ง (Runway Beam &amp; Rails)</w:t>
            </w:r>
          </w:p>
        </w:tc>
        <w:tc>
          <w:tcPr>
            <w:tcW w:type="dxa" w:w="1440"/>
          </w:tcPr>
          <w:p>
            <w:r>
              <w:t>Visual / Alignment</w:t>
            </w:r>
          </w:p>
        </w:tc>
        <w:tc>
          <w:tcPr>
            <w:tcW w:type="dxa" w:w="1440"/>
          </w:tcPr>
          <w:p>
            <w:r>
              <w:t>CMAA 70</w:t>
            </w:r>
          </w:p>
        </w:tc>
        <w:tc>
          <w:tcPr>
            <w:tcW w:type="dxa" w:w="1440"/>
          </w:tcPr>
          <w:p>
            <w:r>
              <w:t>รางต้องตรง ไม่บิดเบี้ยว รอยต่อรางไม่ทรุด</w:t>
            </w:r>
          </w:p>
        </w:tc>
        <w:tc>
          <w:tcPr>
            <w:tcW w:type="dxa" w:w="1440"/>
          </w:tcPr>
          <w:p>
            <w:r>
              <w:t>รางอยู่ในแนวศูนย์ ไม่มีการเยื้องศูนย์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ชุดคานล้อและล้อขับ (End Carriage &amp; Wheels)</w:t>
            </w:r>
          </w:p>
        </w:tc>
        <w:tc>
          <w:tcPr>
            <w:tcW w:type="dxa" w:w="1440"/>
          </w:tcPr>
          <w:p>
            <w:r>
              <w:t>Visual / Wear Check</w:t>
            </w:r>
          </w:p>
        </w:tc>
        <w:tc>
          <w:tcPr>
            <w:tcW w:type="dxa" w:w="1440"/>
          </w:tcPr>
          <w:p>
            <w:r>
              <w:t>ASME B30.2</w:t>
            </w:r>
          </w:p>
        </w:tc>
        <w:tc>
          <w:tcPr>
            <w:tcW w:type="dxa" w:w="1440"/>
          </w:tcPr>
          <w:p>
            <w:r>
              <w:t>ปีกหน้าล้อไม่บิ่น สึกหรอไม่เกินเกณฑ์</w:t>
            </w:r>
          </w:p>
        </w:tc>
        <w:tc>
          <w:tcPr>
            <w:tcW w:type="dxa" w:w="1440"/>
          </w:tcPr>
          <w:p>
            <w:r>
              <w:t>ล้อกลิ้งราบรื่น ปีกหน้าล้อสมบูรณ์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</w:tbl>
    <w:p/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ก-1: การตรวจสอบแนวเชื่อมและการขันน็อตโครงสร้างคานหลัก</w:t>
      </w:r>
    </w:p>
    <w:p/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ก-2: การตรวจสอบสภาพล้อและรางวิ่งปั้นจั่น</w:t>
      </w:r>
    </w:p>
    <w:p/>
    <w:p>
      <w:r>
        <w:br w:type="page"/>
      </w:r>
    </w:p>
    <w:p>
      <w:pPr>
        <w:pStyle w:val="Heading2"/>
      </w:pPr>
      <w:r>
        <w:rPr>
          <w:rFonts w:ascii="TH SarabunPSK" w:hAnsi="TH SarabunPSK"/>
          <w:b/>
          <w:color w:val="000000"/>
          <w:sz w:val="36"/>
        </w:rPr>
        <w:t>ภาคผนวก ข: ผลการตรวจสอบลวดสลิงและอุปกรณ์ช่วยยก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รายการตรวจสอบ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วิธีการตรวจสอบ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มาตรฐานอ้างอิง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เกณฑ์การยอมรับ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ผลการตรวจสอบ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ประเมินผล</w:t>
            </w:r>
          </w:p>
        </w:tc>
      </w:tr>
      <w:tr>
        <w:tc>
          <w:tcPr>
            <w:tcW w:type="dxa" w:w="1440"/>
          </w:tcPr>
          <w:p>
            <w:r>
              <w:t>ขนาดเส้นผ่านศูนย์กลางลวดสลิง</w:t>
            </w:r>
          </w:p>
        </w:tc>
        <w:tc>
          <w:tcPr>
            <w:tcW w:type="dxa" w:w="1440"/>
          </w:tcPr>
          <w:p>
            <w:r>
              <w:t>Vernier Caliper</w:t>
            </w:r>
          </w:p>
        </w:tc>
        <w:tc>
          <w:tcPr>
            <w:tcW w:type="dxa" w:w="1440"/>
          </w:tcPr>
          <w:p>
            <w:r>
              <w:t>ISO 4309</w:t>
            </w:r>
          </w:p>
        </w:tc>
        <w:tc>
          <w:tcPr>
            <w:tcW w:type="dxa" w:w="1440"/>
          </w:tcPr>
          <w:p>
            <w:r>
              <w:t>ลดลงไม่เกิน 5-7% ของขนาดปกติ</w:t>
            </w:r>
          </w:p>
        </w:tc>
        <w:tc>
          <w:tcPr>
            <w:tcW w:type="dxa" w:w="1440"/>
          </w:tcPr>
          <w:p>
            <w:r>
              <w:t>วัดได้ 15.4 มม. (ลดลง 3.7%)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จำนวนเส้นลวดขาด (Broken Wires)</w:t>
            </w:r>
          </w:p>
        </w:tc>
        <w:tc>
          <w:tcPr>
            <w:tcW w:type="dxa" w:w="1440"/>
          </w:tcPr>
          <w:p>
            <w:r>
              <w:t>Visual Counting</w:t>
            </w:r>
          </w:p>
        </w:tc>
        <w:tc>
          <w:tcPr>
            <w:tcW w:type="dxa" w:w="1440"/>
          </w:tcPr>
          <w:p>
            <w:r>
              <w:t>ISO 4309</w:t>
            </w:r>
          </w:p>
        </w:tc>
        <w:tc>
          <w:tcPr>
            <w:tcW w:type="dxa" w:w="1440"/>
          </w:tcPr>
          <w:p>
            <w:r>
              <w:t>ไม่เกิน 6 เส้นใน 1 Lay Length</w:t>
            </w:r>
          </w:p>
        </w:tc>
        <w:tc>
          <w:tcPr>
            <w:tcW w:type="dxa" w:w="1440"/>
          </w:tcPr>
          <w:p>
            <w:r>
              <w:t>พบรอยขาด 1 เส้นใน 1 Lay length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ตะขอ (Hook Saddle Wear)</w:t>
            </w:r>
          </w:p>
        </w:tc>
        <w:tc>
          <w:tcPr>
            <w:tcW w:type="dxa" w:w="1440"/>
          </w:tcPr>
          <w:p>
            <w:r>
              <w:t>Caliper / Visual</w:t>
            </w:r>
          </w:p>
        </w:tc>
        <w:tc>
          <w:tcPr>
            <w:tcW w:type="dxa" w:w="1440"/>
          </w:tcPr>
          <w:p>
            <w:r>
              <w:t>ASME B30.10</w:t>
            </w:r>
          </w:p>
        </w:tc>
        <w:tc>
          <w:tcPr>
            <w:tcW w:type="dxa" w:w="1440"/>
          </w:tcPr>
          <w:p>
            <w:r>
              <w:t>สึกหรอที่ฐานไม่เกิน 10%</w:t>
            </w:r>
          </w:p>
        </w:tc>
        <w:tc>
          <w:tcPr>
            <w:tcW w:type="dxa" w:w="1440"/>
          </w:tcPr>
          <w:p>
            <w:r>
              <w:t>ไม่มีรอยสึกหรอชัดเจน (&lt;2%)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ความกว้างปากตะขอ (Throat Opening)</w:t>
            </w:r>
          </w:p>
        </w:tc>
        <w:tc>
          <w:tcPr>
            <w:tcW w:type="dxa" w:w="1440"/>
          </w:tcPr>
          <w:p>
            <w:r>
              <w:t>Measuring Tape</w:t>
            </w:r>
          </w:p>
        </w:tc>
        <w:tc>
          <w:tcPr>
            <w:tcW w:type="dxa" w:w="1440"/>
          </w:tcPr>
          <w:p>
            <w:r>
              <w:t>ASME B30.10</w:t>
            </w:r>
          </w:p>
        </w:tc>
        <w:tc>
          <w:tcPr>
            <w:tcW w:type="dxa" w:w="1440"/>
          </w:tcPr>
          <w:p>
            <w:r>
              <w:t>ถ่างออกไม่เกิน 15% จากเดิม</w:t>
            </w:r>
          </w:p>
        </w:tc>
        <w:tc>
          <w:tcPr>
            <w:tcW w:type="dxa" w:w="1440"/>
          </w:tcPr>
          <w:p>
            <w:r>
              <w:t>วัดได้ 115 มม. (เดิม 113 มม. เพิ่ม &lt;2%)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การบิดตัวของตะขอ (Hook Twist)</w:t>
            </w:r>
          </w:p>
        </w:tc>
        <w:tc>
          <w:tcPr>
            <w:tcW w:type="dxa" w:w="1440"/>
          </w:tcPr>
          <w:p>
            <w:r>
              <w:t>Visual Alignment</w:t>
            </w:r>
          </w:p>
        </w:tc>
        <w:tc>
          <w:tcPr>
            <w:tcW w:type="dxa" w:w="1440"/>
          </w:tcPr>
          <w:p>
            <w:r>
              <w:t>ASME B30.10</w:t>
            </w:r>
          </w:p>
        </w:tc>
        <w:tc>
          <w:tcPr>
            <w:tcW w:type="dxa" w:w="1440"/>
          </w:tcPr>
          <w:p>
            <w:r>
              <w:t>บิดไม่เกิน 10 องศา</w:t>
            </w:r>
          </w:p>
        </w:tc>
        <w:tc>
          <w:tcPr>
            <w:tcW w:type="dxa" w:w="1440"/>
          </w:tcPr>
          <w:p>
            <w:r>
              <w:t>ตะขออยู่ในระนาบปกติ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</w:tbl>
    <w:p/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ข-1: การใช้เวอร์เนียวัดขนาดเส้นผ่านศูนย์กลางลวดสลิงในจุดรับแรงสูงสุด</w:t>
      </w:r>
    </w:p>
    <w:p/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ข-2: การวัดระยะปากตะขอเปรียบเทียบกับ Punch mark เดิม</w:t>
      </w:r>
    </w:p>
    <w:p/>
    <w:p>
      <w:r>
        <w:br w:type="page"/>
      </w:r>
    </w:p>
    <w:p>
      <w:pPr>
        <w:pStyle w:val="Heading2"/>
      </w:pPr>
      <w:r>
        <w:rPr>
          <w:rFonts w:ascii="TH SarabunPSK" w:hAnsi="TH SarabunPSK"/>
          <w:b/>
          <w:color w:val="000000"/>
          <w:sz w:val="36"/>
        </w:rPr>
        <w:t>ภาคผนวก ค: ผลการทดสอบแบบไม่ทำลาย (Non-Destructive Testing)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จุดตรวจสอบ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วิธีการ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น้ำยา / อุปกรณ์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เกณฑ์การยอมรับ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ผลการตรวจสอบ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ประเมินผล</w:t>
            </w:r>
          </w:p>
        </w:tc>
      </w:tr>
      <w:tr>
        <w:tc>
          <w:tcPr>
            <w:tcW w:type="dxa" w:w="1440"/>
          </w:tcPr>
          <w:p>
            <w:r>
              <w:t>คอและเกลียวตะขอ (Hook Shank)</w:t>
            </w:r>
          </w:p>
        </w:tc>
        <w:tc>
          <w:tcPr>
            <w:tcW w:type="dxa" w:w="1440"/>
          </w:tcPr>
          <w:p>
            <w:r>
              <w:t>PT (Penetrant Test)</w:t>
            </w:r>
          </w:p>
        </w:tc>
        <w:tc>
          <w:tcPr>
            <w:tcW w:type="dxa" w:w="1440"/>
          </w:tcPr>
          <w:p>
            <w:r>
              <w:t>Cleaner, Penetrant, Developer</w:t>
            </w:r>
          </w:p>
        </w:tc>
        <w:tc>
          <w:tcPr>
            <w:tcW w:type="dxa" w:w="1440"/>
          </w:tcPr>
          <w:p>
            <w:r>
              <w:t>No linear indications (รอยร้าว)</w:t>
            </w:r>
          </w:p>
        </w:tc>
        <w:tc>
          <w:tcPr>
            <w:tcW w:type="dxa" w:w="1440"/>
          </w:tcPr>
          <w:p>
            <w:r>
              <w:t>ไม่ปรากฏข้อบกพร่อง (No indication)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รอยเชื่อมรอยต่อคานหลักและคานวิ่ง</w:t>
            </w:r>
          </w:p>
        </w:tc>
        <w:tc>
          <w:tcPr>
            <w:tcW w:type="dxa" w:w="1440"/>
          </w:tcPr>
          <w:p>
            <w:r>
              <w:t>PT / MT</w:t>
            </w:r>
          </w:p>
        </w:tc>
        <w:tc>
          <w:tcPr>
            <w:tcW w:type="dxa" w:w="1440"/>
          </w:tcPr>
          <w:p>
            <w:r>
              <w:t>NDT Standard</w:t>
            </w:r>
          </w:p>
        </w:tc>
        <w:tc>
          <w:tcPr>
            <w:tcW w:type="dxa" w:w="1440"/>
          </w:tcPr>
          <w:p>
            <w:r>
              <w:t>ไม่มีรอยร้าวที่ผิวรอยเชื่อม</w:t>
            </w:r>
          </w:p>
        </w:tc>
        <w:tc>
          <w:tcPr>
            <w:tcW w:type="dxa" w:w="1440"/>
          </w:tcPr>
          <w:p>
            <w:r>
              <w:t>รอยเชื่อมสมบูรณ์ ไม่ปรากฏข้อบกพร่อง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</w:tbl>
    <w:p/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ค-1: ขั้นตอนการฉีดน้ำยา Penetrant และ Developer ที่บริเวณคอตะขอ</w:t>
      </w:r>
    </w:p>
    <w:p/>
    <w:p>
      <w:r>
        <w:br w:type="page"/>
      </w:r>
    </w:p>
    <w:p>
      <w:pPr>
        <w:pStyle w:val="Heading2"/>
      </w:pPr>
      <w:r>
        <w:rPr>
          <w:rFonts w:ascii="TH SarabunPSK" w:hAnsi="TH SarabunPSK"/>
          <w:b/>
          <w:color w:val="000000"/>
          <w:sz w:val="36"/>
        </w:rPr>
        <w:t>ภาคผนวก ง: ผลการทดสอบอุปกรณ์นิรภัยและระบบควบคุม (Safety Devices)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รายการตรวจสอบ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วิธีการตรวจสอบ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มาตรฐานอ้างอิง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เกณฑ์การยอมรับ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ผลการตรวจสอบ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ประเมินผล</w:t>
            </w:r>
          </w:p>
        </w:tc>
      </w:tr>
      <w:tr>
        <w:tc>
          <w:tcPr>
            <w:tcW w:type="dxa" w:w="1440"/>
          </w:tcPr>
          <w:p>
            <w:r>
              <w:t>สวิตช์ตัดการทำงานระยะยกขึ้นสุด (Upper Limit)</w:t>
            </w:r>
          </w:p>
        </w:tc>
        <w:tc>
          <w:tcPr>
            <w:tcW w:type="dxa" w:w="1440"/>
          </w:tcPr>
          <w:p>
            <w:r>
              <w:t>ทดสอบการทำงานจริง</w:t>
            </w:r>
          </w:p>
        </w:tc>
        <w:tc>
          <w:tcPr>
            <w:tcW w:type="dxa" w:w="1440"/>
          </w:tcPr>
          <w:p>
            <w:r>
              <w:t>กฎหมายปั้นจั่น</w:t>
            </w:r>
          </w:p>
        </w:tc>
        <w:tc>
          <w:tcPr>
            <w:tcW w:type="dxa" w:w="1440"/>
          </w:tcPr>
          <w:p>
            <w:r>
              <w:t>ต้องตัดวงจรการยกขึ้นก่อนชนโครงสร้าง</w:t>
            </w:r>
          </w:p>
        </w:tc>
        <w:tc>
          <w:tcPr>
            <w:tcW w:type="dxa" w:w="1440"/>
          </w:tcPr>
          <w:p>
            <w:r>
              <w:t>ตัดการทำงานแม่นยำ ระยะห่างปลอดภัย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สวิตช์ตัดการทำงานเคลื่อนที่ (Cross / Long Travel Limit)</w:t>
            </w:r>
          </w:p>
        </w:tc>
        <w:tc>
          <w:tcPr>
            <w:tcW w:type="dxa" w:w="1440"/>
          </w:tcPr>
          <w:p>
            <w:r>
              <w:t>ทดสอบการทำงานจริง</w:t>
            </w:r>
          </w:p>
        </w:tc>
        <w:tc>
          <w:tcPr>
            <w:tcW w:type="dxa" w:w="1440"/>
          </w:tcPr>
          <w:p>
            <w:r>
              <w:t>กฎหมายปั้นจั่น</w:t>
            </w:r>
          </w:p>
        </w:tc>
        <w:tc>
          <w:tcPr>
            <w:tcW w:type="dxa" w:w="1440"/>
          </w:tcPr>
          <w:p>
            <w:r>
              <w:t>ตัดวงจรก่อนกระแทก Stopper</w:t>
            </w:r>
          </w:p>
        </w:tc>
        <w:tc>
          <w:tcPr>
            <w:tcW w:type="dxa" w:w="1440"/>
          </w:tcPr>
          <w:p>
            <w:r>
              <w:t>ตัดการทำงานแม่นยำ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ระบบป้องกันภาระเกิน (Overload Limiter)</w:t>
            </w:r>
          </w:p>
        </w:tc>
        <w:tc>
          <w:tcPr>
            <w:tcW w:type="dxa" w:w="1440"/>
          </w:tcPr>
          <w:p>
            <w:r>
              <w:t>ยกน้ำหนักเกินพิกัด</w:t>
            </w:r>
          </w:p>
        </w:tc>
        <w:tc>
          <w:tcPr>
            <w:tcW w:type="dxa" w:w="1440"/>
          </w:tcPr>
          <w:p>
            <w:r>
              <w:t>กฎหมาย / วสท.</w:t>
            </w:r>
          </w:p>
        </w:tc>
        <w:tc>
          <w:tcPr>
            <w:tcW w:type="dxa" w:w="1440"/>
          </w:tcPr>
          <w:p>
            <w:r>
              <w:t>ตัดการทำงานเมื่อน้ำหนัก &gt; 110% SWL</w:t>
            </w:r>
          </w:p>
        </w:tc>
        <w:tc>
          <w:tcPr>
            <w:tcW w:type="dxa" w:w="1440"/>
          </w:tcPr>
          <w:p>
            <w:r>
              <w:t>ระบบตัดการทำงานการยกขึ้นทันที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สวิตช์หยุดฉุกเฉิน (Emergency Stop)</w:t>
            </w:r>
          </w:p>
        </w:tc>
        <w:tc>
          <w:tcPr>
            <w:tcW w:type="dxa" w:w="1440"/>
          </w:tcPr>
          <w:p>
            <w:r>
              <w:t>กดสวิตช์ E-Stop</w:t>
            </w:r>
          </w:p>
        </w:tc>
        <w:tc>
          <w:tcPr>
            <w:tcW w:type="dxa" w:w="1440"/>
          </w:tcPr>
          <w:p>
            <w:r>
              <w:t>กฎหมายความปลอดภัย</w:t>
            </w:r>
          </w:p>
        </w:tc>
        <w:tc>
          <w:tcPr>
            <w:tcW w:type="dxa" w:w="1440"/>
          </w:tcPr>
          <w:p>
            <w:r>
              <w:t>ตัดระบบไฟฟ้าทั้งหมดทันที</w:t>
            </w:r>
          </w:p>
        </w:tc>
        <w:tc>
          <w:tcPr>
            <w:tcW w:type="dxa" w:w="1440"/>
          </w:tcPr>
          <w:p>
            <w:r>
              <w:t>ระบบไฟฟ้าหยุดการทำงาน 100%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สัญญาณไฟและเสียง (Siren &amp; Strobe Light)</w:t>
            </w:r>
          </w:p>
        </w:tc>
        <w:tc>
          <w:tcPr>
            <w:tcW w:type="dxa" w:w="1440"/>
          </w:tcPr>
          <w:p>
            <w:r>
              <w:t>ทดสอบเมื่อเดินเครื่อง</w:t>
            </w:r>
          </w:p>
        </w:tc>
        <w:tc>
          <w:tcPr>
            <w:tcW w:type="dxa" w:w="1440"/>
          </w:tcPr>
          <w:p>
            <w:r>
              <w:t>กฎหมายความปลอดภัย</w:t>
            </w:r>
          </w:p>
        </w:tc>
        <w:tc>
          <w:tcPr>
            <w:tcW w:type="dxa" w:w="1440"/>
          </w:tcPr>
          <w:p>
            <w:r>
              <w:t>มองเห็นและได้ยินชัดเจน</w:t>
            </w:r>
          </w:p>
        </w:tc>
        <w:tc>
          <w:tcPr>
            <w:tcW w:type="dxa" w:w="1440"/>
          </w:tcPr>
          <w:p>
            <w:r>
              <w:t>ทำงานปกติตลอดการเคลื่อนที่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</w:tbl>
    <w:p/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ง-1: การทดสอบสวิตช์จำกัดระยะ (Limit switch) การยกขึ้น-ลง</w:t>
      </w:r>
    </w:p>
    <w:p/>
    <w:p>
      <w:r>
        <w:br w:type="page"/>
      </w:r>
    </w:p>
    <w:p>
      <w:pPr>
        <w:pStyle w:val="Heading2"/>
      </w:pPr>
      <w:r>
        <w:rPr>
          <w:rFonts w:ascii="TH SarabunPSK" w:hAnsi="TH SarabunPSK"/>
          <w:b/>
          <w:color w:val="000000"/>
          <w:sz w:val="36"/>
        </w:rPr>
        <w:t>ภาคผนวก จ: ผลการทดสอบภาระทางกล (Load Test &amp; Deflection)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รายการทดสอบ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น้ำหนัก (ตัน)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มาตรฐานอ้างอิง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เกณฑ์การยอมรับ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ผลการตรวจสอบ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b/>
              </w:rPr>
              <w:t>ประเมินผล</w:t>
            </w:r>
          </w:p>
        </w:tc>
      </w:tr>
      <w:tr>
        <w:tc>
          <w:tcPr>
            <w:tcW w:type="dxa" w:w="1440"/>
          </w:tcPr>
          <w:p>
            <w:r>
              <w:t>Dynamic Load Test (100% SWL)</w:t>
            </w:r>
          </w:p>
        </w:tc>
        <w:tc>
          <w:tcPr>
            <w:tcW w:type="dxa" w:w="1440"/>
          </w:tcPr>
          <w:p>
            <w:r>
              <w:t>20.0 ตัน</w:t>
            </w:r>
          </w:p>
        </w:tc>
        <w:tc>
          <w:tcPr>
            <w:tcW w:type="dxa" w:w="1440"/>
          </w:tcPr>
          <w:p>
            <w:r>
              <w:t>วสท. / กฎหมายไทย</w:t>
            </w:r>
          </w:p>
        </w:tc>
        <w:tc>
          <w:tcPr>
            <w:tcW w:type="dxa" w:w="1440"/>
          </w:tcPr>
          <w:p>
            <w:r>
              <w:t>เคลื่อนที่ 6 ทิศทางได้ปกติ มอเตอร์ไม่ร้อน</w:t>
            </w:r>
          </w:p>
        </w:tc>
        <w:tc>
          <w:tcPr>
            <w:tcW w:type="dxa" w:w="1440"/>
          </w:tcPr>
          <w:p>
            <w:r>
              <w:t>ทำงานราบรื่น ไม่พบเสียงดังผิดปกติ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Deflection Test (วัดระยะโก่งตัว)</w:t>
            </w:r>
          </w:p>
        </w:tc>
        <w:tc>
          <w:tcPr>
            <w:tcW w:type="dxa" w:w="1440"/>
          </w:tcPr>
          <w:p>
            <w:r>
              <w:t>20.0 ตัน</w:t>
            </w:r>
          </w:p>
        </w:tc>
        <w:tc>
          <w:tcPr>
            <w:tcW w:type="dxa" w:w="1440"/>
          </w:tcPr>
          <w:p>
            <w:r>
              <w:t>CMAA 70 / วสท.</w:t>
            </w:r>
          </w:p>
        </w:tc>
        <w:tc>
          <w:tcPr>
            <w:tcW w:type="dxa" w:w="1440"/>
          </w:tcPr>
          <w:p>
            <w:r>
              <w:t>โก่งตัวไม่เกิน Span/600 (25 มม.)</w:t>
            </w:r>
          </w:p>
        </w:tc>
        <w:tc>
          <w:tcPr>
            <w:tcW w:type="dxa" w:w="1440"/>
          </w:tcPr>
          <w:p>
            <w:r>
              <w:t>วัดระยะโก่งได้ 18.0 มม.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  <w:tr>
        <w:tc>
          <w:tcPr>
            <w:tcW w:type="dxa" w:w="1440"/>
          </w:tcPr>
          <w:p>
            <w:r>
              <w:t>Static Load Test (125% SWL)</w:t>
            </w:r>
          </w:p>
        </w:tc>
        <w:tc>
          <w:tcPr>
            <w:tcW w:type="dxa" w:w="1440"/>
          </w:tcPr>
          <w:p>
            <w:r>
              <w:t>25.0 ตัน</w:t>
            </w:r>
          </w:p>
        </w:tc>
        <w:tc>
          <w:tcPr>
            <w:tcW w:type="dxa" w:w="1440"/>
          </w:tcPr>
          <w:p>
            <w:r>
              <w:t>กฎหมายไทย</w:t>
            </w:r>
          </w:p>
        </w:tc>
        <w:tc>
          <w:tcPr>
            <w:tcW w:type="dxa" w:w="1440"/>
          </w:tcPr>
          <w:p>
            <w:r>
              <w:t>ยกโหลดลอยพ้นพื้น เบรกจับแน่น ไม่รูดไถล</w:t>
            </w:r>
          </w:p>
        </w:tc>
        <w:tc>
          <w:tcPr>
            <w:tcW w:type="dxa" w:w="1440"/>
          </w:tcPr>
          <w:p>
            <w:r>
              <w:t>เบรกสามารถจับโหลด 25 ตัน ได้ 100%</w:t>
            </w:r>
          </w:p>
        </w:tc>
        <w:tc>
          <w:tcPr>
            <w:tcW w:type="dxa" w:w="1440"/>
          </w:tcPr>
          <w:p>
            <w:r>
              <w:t>ผ่าน</w:t>
            </w:r>
          </w:p>
        </w:tc>
      </w:tr>
    </w:tbl>
    <w:p/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จ-1: การทดสอบ Static Load Test ที่พิกัด 125% (25 ตัน)</w:t>
      </w:r>
    </w:p>
    <w:p/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จ-2: การวัดระยะโก่งตัวด้วยเลเซอร์ขณะทำการยกโหลด 100% (20 ตัน) ไว้กึ่งกลางคาน</w:t>
      </w:r>
    </w:p>
    <w:p/>
    <w:p>
      <w:r>
        <w:br w:type="page"/>
      </w:r>
    </w:p>
    <w:p>
      <w:pPr>
        <w:pStyle w:val="Heading2"/>
      </w:pPr>
      <w:r>
        <w:rPr>
          <w:rFonts w:ascii="TH SarabunPSK" w:hAnsi="TH SarabunPSK"/>
          <w:b/>
          <w:color w:val="000000"/>
          <w:sz w:val="36"/>
        </w:rPr>
        <w:t>ภาคผนวก ฉ: สำเนาเอกสารรับรองความปลอดภัยปั้นจั่น (แบบ ปจ.1)</w:t>
      </w:r>
    </w:p>
    <w:p>
      <w:r>
        <w:t>เอกสารรับรองความปลอดภัยปั้นจั่นแบบ ปจ.1 ลงนามโดยวุฒิวิศวกรเครื่องกล / สามัญวิศวกรเครื่องกล</w:t>
      </w:r>
    </w:p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ฉ-1: สแกนเอกสาร ปจ.1 ที่ดำเนินการลงนามรับรองความปลอดภัยเรียบร้อยแล้ว</w:t>
      </w:r>
    </w:p>
    <w:p/>
    <w:p>
      <w:r>
        <w:br w:type="page"/>
      </w:r>
    </w:p>
    <w:p>
      <w:pPr>
        <w:pStyle w:val="Heading2"/>
      </w:pPr>
      <w:r>
        <w:rPr>
          <w:rFonts w:ascii="TH SarabunPSK" w:hAnsi="TH SarabunPSK"/>
          <w:b/>
          <w:color w:val="000000"/>
          <w:sz w:val="36"/>
        </w:rPr>
        <w:t>ภาคผนวก ช: หนังสือรับรองแต่งตั้งและใบอนุญาตประกอบวิชาชีพวิศวกรรม</w:t>
      </w:r>
    </w:p>
    <w:p>
      <w:pPr>
        <w:jc w:val="center"/>
      </w:pPr>
      <w:r>
        <w:rPr>
          <w:b/>
          <w:color w:val="FF0000"/>
          <w:sz w:val="36"/>
        </w:rPr>
        <w:t>[ วางภาพประกอบตรงนี้ ]</w:t>
      </w:r>
    </w:p>
    <w:p>
      <w:pPr>
        <w:jc w:val="center"/>
      </w:pPr>
      <w:r>
        <w:rPr>
          <w:i/>
          <w:sz w:val="28"/>
        </w:rPr>
        <w:t>ภาพถ่าย ช-1: สำเนาใบอนุญาตประกอบวิชาชีพวิศวกรรมควบคุม (กว.) และหนังสือรับรอง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PSK" w:hAnsi="TH SarabunPSK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