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H SarabunPSK" w:hAnsi="TH SarabunPSK"/>
          <w:b/>
          <w:color w:val="000000"/>
          <w:sz w:val="40"/>
        </w:rPr>
        <w:t>รายงานผลงานวิศวกรรมดีเด่น</w:t>
      </w:r>
    </w:p>
    <w:p>
      <w:pPr>
        <w:pStyle w:val="Heading2"/>
        <w:jc w:val="center"/>
      </w:pPr>
      <w:r>
        <w:rPr>
          <w:rFonts w:ascii="TH SarabunPSK" w:hAnsi="TH SarabunPSK"/>
          <w:b/>
          <w:color w:val="000000"/>
          <w:sz w:val="36"/>
        </w:rPr>
        <w:t>ชื่อโครงการ งานอำนวยการใช้และบำรุงรักษาหม้อไอน้ำอุตสาหกรรม</w:t>
        <w:br/>
        <w:t>(Boiler Operation and Maintenance Management)</w:t>
        <w:br/>
        <w:t>ประเภท Water Tube Boiler ขนาด [ 50 ] ตัน/ชั่วโมง ความดัน [ 40 ] บาร์</w:t>
      </w:r>
    </w:p>
    <w:p>
      <w:r>
        <w:br/>
        <w:t>บริษัท: [ระบุชื่อโรงไฟฟ้า หรือ โรงงานอุตสาหกรรมขนาดใหญ่]</w:t>
      </w:r>
    </w:p>
    <w:p>
      <w:r>
        <w:t>ผลงานดีเด่นลำดับที่: [ระบุลำดับ]</w:t>
      </w:r>
    </w:p>
    <w:p>
      <w:r>
        <w:t>อยู่ในบัญชีแสดงผลงาน ลำดับที่: [ระบุลำดับ]</w:t>
      </w:r>
    </w:p>
    <w:p>
      <w:r>
        <w:t>เพื่อใช้ประกอบในการพิจารณาเลื่อนระดับ: [ระบุระดับ เช่น วุฒิวิศวกร] สาขา วิศวกรรมเครื่องกล</w:t>
      </w:r>
    </w:p>
    <w:p>
      <w:r>
        <w:t>ชื่อผู้ขอรับใบอนุญาต: [ระบุชื่อ-นามสกุลน้อง]</w:t>
      </w:r>
    </w:p>
    <w:p>
      <w:r>
        <w:t>เลขสมาชิก: [ระบุเลขสมาชิก] สย./วุ.: [ระบุเลขทะเบียน]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คำนำ</w:t>
      </w:r>
    </w:p>
    <w:p>
      <w:r>
        <w:t>รายงานฉบับนี้จัดทำขึ้นเพื่อใช้เป็นเอกสารประกอบการพิจารณาเลื่อนระดับใบอนุญาตประกอบวิชาชีพวิศวกรรมควบคุมเป็นระดับวุฒิวิศวกร สาขาวิศวกรรมเครื่องกล โดยมีวัตถุประสงค์เพื่อนำเสนอผลงานวิศวกรรมที่สะท้อนถึงความรู้ ความชำนาญ และประสบการณ์ในการอำนวยการใช้ บริหารจัดการ และแก้ไขปัญหาทางวิศวกรรม ภายใต้ความรับผิดชอบต่อความปลอดภัยของสาธารณะ สิ่งแวดล้อม และจรรยาบรรณวิชาชีพ</w:t>
      </w:r>
    </w:p>
    <w:p>
      <w:r>
        <w:t>รายงานฉบับนี้นำเสนอกรณีศึกษา "งานอำนวยการใช้หม้อไอน้ำ" (Boiler Operation Management) ประเภทหม้อไอน้ำชนิดท่อน้ำ (Water Tube Boiler) เชื้อเพลิงชีวมวล (Biomass) ขนาดกำลังผลิต [ 50 ] ตัน/ชั่วโมง ที่ความดัน [ 40 ] บาร์ ของ [ชื่อบริษัท] โดยผู้เขียนปฏิบัติหน้าที่ในบทบาท “วิศวกรผู้อำนวยการใช้หม้อไอน้ำ” (Boiler Operation Manager / Chief Engineer) รับผิดชอบการควบคุมประสิทธิภาพการเผาไหม้ การจัดการคุณภาพน้ำ การวางแผนบำรุงรักษาเชิงป้องกัน และการบริหารความปลอดภัยตลอดวัฏจักรการเดินเครื่อง</w:t>
      </w:r>
    </w:p>
    <w:p>
      <w:r>
        <w:t>หม้อไอน้ำขนาดใหญ่ที่ทำงานภายใต้ความดันและอุณหภูมิสูง (High Pressure &amp; High Temperature) ถือเป็นอุปกรณ์ที่มีความเสี่ยงระดับวิกฤต (Critical Equipment) งานอำนวยการใช้จึงไม่ได้จำกัดเพียงการเดินเครื่องและหยุดเครื่อง (Start-up / Shut-down) แต่ครอบคลุมถึงการวิเคราะห์สมรรถนะ (Performance Analysis) การลดความสูญเสียทางอุณหพลศาสตร์ (Thermodynamic Losses) การยืดอายุการใช้งานอุปกรณ์ และการควบคุมมลพิษทางอากาศให้อยู่ในเกณฑ์มาตรฐานกฎหมาย</w:t>
      </w:r>
    </w:p>
    <w:p>
      <w:r>
        <w:t>ผู้เขียนได้ประยุกต์ใช้หลักการคำนวณประสิทธิภาพหม้อไอน้ำทางอ้อม (Indirect Method ตามมาตรฐาน ASME PTC 4.1) การจัดการเคมีของน้ำ (Water Chemistry Management) และระบบควบคุมอัตโนมัติ (DCS / SCADA) เข้ามาเพิ่มเสถียรภาพของระบบ หวังเป็นอย่างยิ่งว่ารายงานฉบับนี้จะสะท้อนถึงศักยภาพในการเป็นผู้นำทางวิศวกรรมเครื่องกล สอดคล้องกับคุณสมบัติของวุฒิวิศวกรอย่างครบถ้วนสมบูรณ์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กิตติกรรมประกาศ</w:t>
      </w:r>
    </w:p>
    <w:p>
      <w:r>
        <w:t>รายงานฉบับนี้สำเร็จลุล่วงได้ด้วยความกรุณาจาก [ระบุชื่อโรงไฟฟ้า หรือ โรงงานอุตสาหกรรมขนาดใหญ่] ที่ได้มอบหมายความไว้วางใจให้ข้าพเจ้าเป็นวิศวกรผู้อำนวยการใช้และควบคุมการปฏิบัติงานของระบบหม้อไอน้ำ รวมถึงเอื้อเฟื้อข้อมูลทางเทคนิคและให้การสนับสนุนงบประมาณในการปรับปรุงประสิทธิภาพเครื่องจักรอย่างดียิ่ง</w:t>
      </w:r>
    </w:p>
    <w:p>
      <w:r>
        <w:t>ขอขอบพระคุณทีมงานช่างเทคนิค พนักงานเดินเครื่องหม้อไอน้ำ (Boiler Operators) และทีมซ่อมบำรุงทุกท่าน ที่ให้ความร่วมมือในการปฏิบัติตามคู่มือการปฏิบัติงาน (SOP) อย่างเคร่งครัด รวมถึงร่วมกันวิเคราะห์และแก้ไขปัญหาหน้างานตลอด 24 ชั่วโมง จนทำให้ระบบสามารถทำงานได้อย่างมีเสถียรภาพและปลอดภัยสูงสุด</w:t>
      </w:r>
    </w:p>
    <w:p>
      <w:r>
        <w:t>ข้าพเจ้าหวังเป็นอย่างยิ่งว่า องค์ความรู้ ประสบการณ์ และผลการประเมินทางวิศวกรรมที่ปรากฏในรายงานฉบับนี้ จะเป็นประโยชน์ต่อวิชาชีพวิศวกรรมเครื่องกล และเป็นแนวทางในการยกระดับมาตรฐานความปลอดภัยและการอนุรักษ์พลังงานในภาคอุตสาหกรรมต่อไป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สารบัญ</w:t>
      </w:r>
    </w:p>
    <w:p>
      <w:r>
        <w:t>คำนำ</w:t>
        <w:br/>
        <w:t>กิตติกรรมประกาศ</w:t>
        <w:br/>
        <w:t>บทนำ</w:t>
        <w:br/>
        <w:t>ลักษณะและขอบเขตของงานทางวิศวกรรมดีเด่น</w:t>
        <w:br/>
        <w:t>วัตถุประสงค์</w:t>
        <w:br/>
        <w:t>การสืบค้นทางเอกสารและข้อเท็จจริง</w:t>
        <w:br/>
        <w:t>หลักการทางวิศวกรรม แนวทางการทำงาน และการเลือกใช้วิธีการแก้ไขปัญหา</w:t>
        <w:br/>
        <w:t>ผลลัพธ์ของการแก้ไขปัญหาหรือการดำเนินงานทางวิศวกรรม</w:t>
        <w:br/>
        <w:t>การประเมินผลลัพธ์และผลกระทบของการแก้ไขปัญหา</w:t>
        <w:br/>
        <w:t>บทสรุป</w:t>
        <w:br/>
        <w:t>เอกสารอ้างอิง</w:t>
        <w:br/>
        <w:t>ภาคผนวก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บทนำ</w:t>
      </w:r>
    </w:p>
    <w:p>
      <w:r>
        <w:t>ระบบหม้อไอน้ำอุตสาหกรรมขนาดใหญ่ (Industrial Boiler Plant) ถือเป็นหัวใจสำคัญของการผลิตกระแสไฟฟ้า (Co-generation) และการจ่ายไอน้ำเข้าสู่กระบวนการผลิตของโรงงาน หม้อไอน้ำที่ผู้เขียนรับผิดชอบอำนวยการใช้ เป็นหม้อไอน้ำชนิดท่อน้ำ (Water Tube Boiler) เชื้อเพลิงชีวมวล (เช่น สับปะรด แกลบ หรือไม้สับ) พิกัดการผลิตไอน้ำ [ 50 ] ตันต่อชั่วโมง ที่ความดัน [ 40 ] บาร์ และอุณหภูมิไอน้ำยวดยิ่ง (Superheated Steam) ที่ [ 400 ] °C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1: ภาพรวมของระบบหม้อไอน้ำชนิดท่อน้ำ (Water Tube Boiler) และห้องควบคุมกลาง (Central Control Room)</w:t>
      </w:r>
    </w:p>
    <w:p/>
    <w:p>
      <w:r>
        <w:t>ความท้าทายของงานอำนวยการใช้หม้อไอน้ำชีวมวล คือ ความไม่แน่นอนของคุณสมบัติเชื้อเพลิง (Fuel Moisture Content &amp; Heating Value) ซึ่งส่งผลกระทบโดยตรงต่อเสถียรภาพการเผาไหม้ในห้องเผาไหม้ (Furnace) และการเกิดตะกรันหลอมละลาย (Slagging &amp; Fouling) ตามท่อแลกเปลี่ยนความร้อน (Superheater และ Boiler Bank)</w:t>
      </w:r>
    </w:p>
    <w:p>
      <w:r>
        <w:t>นอกจากนี้ การเดินเครื่องอย่างต่อเนื่อง (Continuous Operation 24/7) เรียกร้องให้มีการควบคุมคุณภาพน้ำป้อน (Feedwater) อย่างเข้มงวด เพื่อหลีกเลี่ยงการเกิดตะกรันด้านน้ำ (Waterside Scale) ซึ่งจะนำไปสู่ปัญหาท่อแตกจากความร้อนสูงเกิน (Tube Overheating/Rupture) และการหยุดเครื่องฉุกเฉิน (Unplanned Outage)</w:t>
      </w:r>
    </w:p>
    <w:p>
      <w:r>
        <w:t>ในฐานะผู้อำนวยการใช้ ผู้เขียนต้องบูรณาการความรู้ทางวิศวกรรมเครื่องกล (อุณหพลศาสตร์ กลศาสตร์ของไหล และการถ่ายเทความร้อน) เข้ากับการบริหารจัดการทีมเดินเครื่อง (Operation Team) และทีมซ่อมบำรุง (Maintenance Team) เพื่อให้ระบบทำงานได้อย่างปลอดภัย มีประสิทธิภาพสูงสุด และปฏิบัติตามกฎหมายของกรมโรงงานอุตสาหกรรมอย่างเคร่งครัด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ลักษณะและขอบเขตของงานทางวิศวกรรมดีเด่น</w:t>
      </w:r>
    </w:p>
    <w:p>
      <w:r>
        <w:t>งานอำนวยการใช้หม้อไอน้ำระดับวุฒิวิศวกร เป็นงานบริหารจัดการเชิงวิศวกรรมขั้นสูง (Advanced Engineering Management) โดยมีขอบเขตความรับผิดชอบ 5 มิติหลัก ได้แก่:</w:t>
      </w:r>
    </w:p>
    <w:p>
      <w:r>
        <w:t>1. การบริหารและเพิ่มประสิทธิภาพการใช้พลังงาน (Efficiency &amp; Energy Management): วิเคราะห์ประสิทธิภาพหม้อไอน้ำ (Boiler Efficiency) ด้วยวิธี Heat Loss Method ควบคุมปริมาณอากาศส่วนเกิน (Excess Air) และปรับปรุงระบบนำความร้อนทิ้งกลับมาใช้ใหม่ (Economizer &amp; Air Preheater)</w:t>
      </w:r>
    </w:p>
    <w:p>
      <w:r>
        <w:t>2. การควบคุมคุณภาพน้ำหม้อไอน้ำ (Boiler Water Chemistry Control): อำนวยการและประเมินผลการเติมสารเคมี (Chemical Dosing) ควบคุมค่าความกระด้าง (Hardness) ค่าความเป็นกรด-ด่าง (pH) และปริมาณสารละลายรวม (TDS) เพื่อบริหารอัตราการระบายน้ำทิ้ง (Blowdown Rate) ให้คุ้มค่าที่สุดโดยไม่เกิดความเสียหายต่อท่อ</w:t>
      </w:r>
    </w:p>
    <w:p>
      <w:r>
        <w:t>3. การบริหารจัดการความปลอดภัยและระบบควบคุม (Safety &amp; DCS Control): ควบคุมและทบทวนตรรกะการทำงาน (Logic Control) ของระบบ DCS ปรับตั้งจุดแจ้งเตือน (Alarm Setpoints) และทดสอบระบบนิรภัย (Safety Interlock) เช่น สภาวะน้ำแห้ง (Low Water Cut-off) และระบบวาล์วนิรภัย (Safety Relief Valve)</w:t>
      </w:r>
    </w:p>
    <w:p>
      <w:r>
        <w:t>4. การวางแผนบำรุงรักษาเชิงป้องกันและคาดการณ์ (Preventive &amp; Predictive Maintenance): วางแผนการหยุดเครื่องประจำปี (Annual Turnaround) เพื่อตรวจวัดความหนาท่อ (Tube Thickness Mapping) ประเมินการเสื่อมสภาพ และล้างทำความสะอาดเขม่า (Sootblowing Optimization)</w:t>
      </w:r>
    </w:p>
    <w:p>
      <w:r>
        <w:t>5. การควบคุมมลพิษและสิ่งแวดล้อม (Environmental Compliance): อำนวยการควบคุมระบบบำบัดมลพิษทางอากาศ เช่น เครื่องดักฝุ่นแบบไฟฟ้าสถิต (ESP) หรือ Multi-cyclone เพื่อควบคุมปริมาณฝุ่นละออง (Particulate Matter) ก๊าซ CO และ NOx ให้ต่ำกว่ามาตรฐานที่กฎหมายกำหนด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วัตถุประสงค์</w:t>
      </w:r>
    </w:p>
    <w:p>
      <w:r>
        <w:t>การอำนวยการใช้หม้อไอน้ำอุตสาหกรรมในครั้งนี้ มีวัตถุประสงค์หลักเพื่อบริหารจัดการให้ระบบผลิตไอน้ำทำงานได้อย่างปลอดภัย มีประสิทธิภาพ และสอดคล้องตามหลักวิศวกรรม โดยมีรายละเอียดดังนี้:</w:t>
      </w:r>
    </w:p>
    <w:p>
      <w:r>
        <w:t>1. เพื่อเพิ่มประสิทธิภาพการทำงานและลดต้นทุนพลังงาน: ปรับปรุงประสิทธิภาพการเผาไหม้ (Combustion Optimization) เพื่อลดการสูญเสียความร้อนไปกับไอเสีย และประหยัดเชื้อเพลิงชีวมวล</w:t>
      </w:r>
    </w:p>
    <w:p>
      <w:r>
        <w:t>2. เพื่อควบคุมคุณภาพน้ำและลดความสูญเสีย: บริหารจัดการคุณภาพน้ำป้อนและน้ำหม้อไอน้ำให้เป็นไปตามมาตรฐาน เพื่อป้องกันการเกิดตะกรันน้ำ (Scaling) และปรับอัตราการระบายน้ำทิ้ง (Blowdown Rate) ให้คุ้มค่าที่สุด</w:t>
      </w:r>
    </w:p>
    <w:p>
      <w:r>
        <w:t>3. เพื่อเพิ่มความน่าเชื่อถือและเสถียรภาพ (Reliability): ควบคุมและยืดอายุการใช้งานของวัสดุทนไฟและท่อ เพื่อลดปัญหาการหยุดเดินเครื่องฉุกเฉิน (Unplanned Outage)</w:t>
      </w:r>
    </w:p>
    <w:p>
      <w:r>
        <w:t>4. เพื่อความปลอดภัยในชีวิตและทรัพย์สิน: รักษามาตรฐานการปฏิบัติงาน (SOP) และทดสอบระบบความปลอดภัยอัตโนมัติ (Safety Interlock) อย่างสม่ำเสมอ เพื่อคุ้มครองชีวิตของผู้ปฏิบัติงานและทรัพย์สินของสถานประกอบการ</w:t>
      </w:r>
    </w:p>
    <w:p>
      <w:r>
        <w:t>5. เพื่อควบคุมมลพิษทางสิ่งแวดล้อม: อำนวยการเดินเครื่องให้เกิดการเผาไหม้ที่สมบูรณ์ และดูแลระบบบำบัดมลพิษ เพื่อควบคุมการปล่อยไอเสียให้สอดคล้องตามข้อกำหนดของกฎหมาย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การสืบค้นทางเอกสารและข้อเท็จจริง</w:t>
      </w:r>
    </w:p>
    <w:p>
      <w:r>
        <w:t>เพื่อให้การอำนวยการใช้มีบรรทัดฐานทางวิศวกรรมที่ชัดเจน ผู้เขียนได้กำหนดเส้นฐาน (Baseline) จากเอกสารและข้อเท็จจริง ดังนี้:</w:t>
      </w:r>
    </w:p>
    <w:p>
      <w:r>
        <w:t>1. ข้อมูลจำเพาะของหม้อไอน้ำ (Boiler Specifications):</w:t>
      </w:r>
    </w:p>
    <w:p>
      <w:r>
        <w:t xml:space="preserve">   - ประเภท: Water Tube Boiler (Traveling Grate Stoker)</w:t>
      </w:r>
    </w:p>
    <w:p>
      <w:r>
        <w:t xml:space="preserve">   - อัตราการผลิตไอน้ำ (MCR): [ 50 ] Tons/hour</w:t>
      </w:r>
    </w:p>
    <w:p>
      <w:r>
        <w:t xml:space="preserve">   - ความดัน/อุณหภูมิใช้งาน: [ 40 ] Bar / [ 400 ] °C</w:t>
      </w:r>
    </w:p>
    <w:p>
      <w:r>
        <w:t xml:space="preserve">   - เชื้อเพลิง: ชีวมวลสับ (Biomass Woodchip / Rice Husk) LHV ประมาณ 2,500 - 3,000 kcal/kg</w:t>
      </w:r>
    </w:p>
    <w:p>
      <w:r>
        <w:t>2. มาตรฐานวิศวกรรมและข้อกำหนดที่ใช้อ้างอิง (Engineering Standards):</w:t>
      </w:r>
    </w:p>
    <w:p>
      <w:r>
        <w:t xml:space="preserve">   - ASME Boiler and Pressure Vessel Code Section VII: Recommended Guidelines for the Care of Power Boilers</w:t>
      </w:r>
    </w:p>
    <w:p>
      <w:r>
        <w:t xml:space="preserve">   - ASME PTC 4.1: Steam Generating Units (สำหรับคำนวณประสิทธิภาพ)</w:t>
      </w:r>
    </w:p>
    <w:p>
      <w:r>
        <w:t xml:space="preserve">   - ประกาศกระทรวงอุตสาหกรรม เรื่อง มาตรการความปลอดภัยเกี่ยวกับหม้อไอน้ำ พ.ศ. 2549</w:t>
      </w:r>
    </w:p>
    <w:p>
      <w:r>
        <w:t xml:space="preserve">   - ประกาศกระทรวงอุตสาหกรรม เรื่อง กำหนดค่าปริมาณของสารเจือปนในอากาศที่ระบายออกจากโรงงาน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หลักการทางวิศวกรรม แนวทางการทำงาน และการเลือกใช้วิธีการแก้ไขปัญหา</w:t>
      </w:r>
    </w:p>
    <w:p>
      <w:r>
        <w:t>การแก้ปัญหาและอำนวยการใช้หม้อไอน้ำ ต้องอาศัยความเข้าใจในพลศาสตร์ของระบบ (System Dynamics) ผู้เขียนได้ประยุกต์ใช้หลักวิศวกรรมเครื่องกลดังนี้:</w:t>
      </w:r>
    </w:p>
    <w:p>
      <w:r>
        <w:t>1. หลักอุณหพลศาสตร์: การคำนวณและปรับปรุงประสิทธิภาพการเผาไหม้ (Boiler Efficiency Optimization)</w:t>
      </w:r>
    </w:p>
    <w:p>
      <w:r>
        <w:t>ผู้เขียนเลือกใช้วิธีทางอ้อม (Indirect Method หรือ Heat Loss Method ตาม ASME PTC 4.1) ในการวิเคราะห์ประสิทธิภาพรายวัน เนื่องจากสามารถระบุจุดสูญเสียพลังงานได้อย่างแม่นยำ สมการคือ: Efficiency = 100% - (L1 + L2 + L3 + ...)</w:t>
      </w:r>
    </w:p>
    <w:p>
      <w:r>
        <w:t xml:space="preserve">   - L1: Dry Flue Gas Loss (สูญเสียไปกับความร้อนไอเสีย)</w:t>
      </w:r>
    </w:p>
    <w:p>
      <w:r>
        <w:t xml:space="preserve">   - L2: Moisture in Fuel Loss (สูญเสียจากความชื้นในเชื้อเพลิงชีวมวล)</w:t>
      </w:r>
    </w:p>
    <w:p>
      <w:r>
        <w:t xml:space="preserve">   - L3: Unburned Carbon Loss (สูญเสียจากคาร์บอนที่เผาไหม้ไม่หมด)</w:t>
      </w:r>
    </w:p>
    <w:p>
      <w:r>
        <w:t>เพื่อลด L1 วิศวกรได้สั่งการให้ปรับลดปริมาณอากาศส่วนเกิน (Excess Air) ในห้องเผาไหม้ จากเดิมที่ O2 8% ให้เหลือประมาณ 4-5% (รักษาระดับ CO ให้อยู่ในเกณฑ์ปลอดภัย) และควบคุมอัตราการดึงเขม่า (Sootblowing) ให้ท่อสะอาด เพื่อลดอุณหภูมิไอเสีย (Flue Gas Temp) ก่อนออกปล่องให้ไม่เกิน 150-160 °C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2: การวิเคราะห์ข้อมูลประสิทธิภาพการเผาไหม้ (Combustion Efficiency) ผ่านระบบ DCS</w:t>
      </w:r>
    </w:p>
    <w:p/>
    <w:p>
      <w:r>
        <w:t>2. หลักเคมีวิศวกรรม: การจัดการวัฏจักรความเข้มข้น (Cycles of Concentration &amp; Blowdown Control)</w:t>
      </w:r>
    </w:p>
    <w:p>
      <w:r>
        <w:t>น้ำในหม้อไอน้ำจะเกิดการระเหยทิ้งสิ่งเจือปนไว้ หาก TDS (Total Dissolved Solids) สูงเกินไปจะเกิดปัญหา Carryover (น้ำปนไปกับไอน้ำ) และตะกรัน วิศวกรควบคุมอัตราการ Blowdown (BD) โดยใช้สมการ:</w:t>
      </w:r>
    </w:p>
    <w:p>
      <w:r>
        <w:t xml:space="preserve">   % BD = (TDS_feedwater / TDS_boiler) x 100</w:t>
      </w:r>
    </w:p>
    <w:p>
      <w:r>
        <w:t>การปล่อย Blowdown มากเกินไปเป็นการสูญเสียพลังงานความร้อนมหาศาล ผู้เขียนจึงปรับปรุงคุณภาพน้ำ RO (Reverse Osmosis) ให้บริสุทธิ์ยิ่งขึ้น ทำให้สามารถลด % BD จาก 5% เหลือ 2% ช่วยประหยัดเชื้อเพลิงและสารเคมีได้อย่างมีนัยสำคัญ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3: แผงควบคุมระบบบำบัดน้ำ (Water Treatment Plant) และระบบ Continuous Blowdown</w:t>
      </w:r>
    </w:p>
    <w:p/>
    <w:p>
      <w:r>
        <w:t>3. หลักกลศาสตร์ของแข็ง: การจัดการความล้าและยืดอายุท่อ (Tube Life Assessment)</w:t>
      </w:r>
    </w:p>
    <w:p>
      <w:r>
        <w:t>ท่อ Superheater ที่รับความร้อนสูงจะเกิดการคืบ (Creep) และความล้า (Fatigue) ผู้เขียนได้จัดทำแผนตรวจวัดความหนาท่อ (Tube Thickness Mapping) ในช่วงหยุดเครื่องประจำปี เพื่อหารอยบาง (Thinning) และคำนวณอายุที่เหลือ (Remaining Life) หากพบท่อบางเกินกว่าค่า Allowable Minimum Thickness (t_min) จะสั่งการให้ตัดต่อเปลี่ยนท่อใหม่ (Retubing) ก่อนเกิดเหตุท่อแตกขณะเดินเครื่อง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ผลลัพธ์ของการแก้ไขปัญหาหรือการดำเนินงานทางวิศวกรรม</w:t>
      </w:r>
    </w:p>
    <w:p>
      <w:r>
        <w:t>ตลอดระยะเวลาในการอำนวยการใช้หม้อไอน้ำ ผู้เขียนสามารถบรรลุผลลัพธ์ทางวิศวกรรมและตัวชี้วัดประสิทธิภาพ (KPIs) ดังต่อไปนี้ (รายละเอียดสถิติในภาคผนวก):</w:t>
      </w:r>
    </w:p>
    <w:p>
      <w:r>
        <w:t>1. ผลลัพธ์ด้านประสิทธิภาพพลังงาน (Energy Efficiency Performance)</w:t>
      </w:r>
    </w:p>
    <w:p>
      <w:r>
        <w:t xml:space="preserve">   - สามารถปรับปรุงประสิทธิภาพหม้อไอน้ำเฉลี่ย (Average Boiler Efficiency) จากเดิม [ 78.5% ] เพิ่มขึ้นเป็น [ 82.0% ]</w:t>
      </w:r>
    </w:p>
    <w:p>
      <w:r>
        <w:t xml:space="preserve">   - การปรับจูน Excess Air ช่วยลดอุณหภูมิไอเสีย (Flue Gas Temp) ลดลงจาก 180°C เหลือ 155°C</w:t>
      </w:r>
    </w:p>
    <w:p>
      <w:r>
        <w:t xml:space="preserve">   - อัตราการใช้เชื้อเพลิงจำเพาะ (Specific Fuel Consumption) ลดลง 4% ส่งผลให้ประหยัดเชื้อเพลิงชีวมวลได้มากกว่า 5,000 ตันต่อปี</w:t>
      </w:r>
    </w:p>
    <w:p>
      <w:r>
        <w:t>2. ผลลัพธ์ด้านคุณภาพน้ำ (Water Chemistry Quality)</w:t>
      </w:r>
    </w:p>
    <w:p>
      <w:r>
        <w:t xml:space="preserve">   - ค่า Silica และ TDS ในน้ำหม้อไอน้ำถูกควบคุมอยู่ในเกณฑ์มาตรฐานตลอดเวลา (TDS &lt; 2,000 ppm สำหรับ 40 Bar)</w:t>
      </w:r>
    </w:p>
    <w:p>
      <w:r>
        <w:t xml:space="preserve">   - ไม่พบปัญหาตะกรัน (Scale) ภายในท่อ Evaporator เมื่อทำการตรวจสอบด้วยกล้อง Borescope ในช่วงหยุดเครื่องประจำปี</w:t>
      </w:r>
    </w:p>
    <w:p>
      <w:r>
        <w:t xml:space="preserve">   - อัตราการระบายน้ำทิ้ง (Blowdown Rate) ลดลงเหลือ 2% ลดการสูญเสียพลังงานความร้อนในน้ำทิ้ง</w:t>
      </w:r>
    </w:p>
    <w:p>
      <w:r>
        <w:t>3. ผลลัพธ์ด้านความปลอดภัยและความน่าเชื่อถือ (Safety &amp; Reliability)</w:t>
      </w:r>
    </w:p>
    <w:p>
      <w:r>
        <w:t xml:space="preserve">   - สถิติการหยุดเครื่องฉุกเฉินจากปัญหาท่อแตก (Tube Leak Unplanned Outage) เป็นศูนย์ (Zero Outage)</w:t>
      </w:r>
    </w:p>
    <w:p>
      <w:r>
        <w:t xml:space="preserve">   - ระบบป้องกันน้ำแห้ง (Low Water Level Cut-off) และวาล์วนิรภัย (Safety Relief Valve) ทำงานได้อย่างถูกต้องเมื่อทำการทดสอบ (Simulation Test) ประจำเดือน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4: การตรวจสอบและทดสอบ (Simulation) อุปกรณ์ความปลอดภัยร่วมกับทีมวิศวกรซ่อมบำรุง</w:t>
      </w:r>
    </w:p>
    <w:p/>
    <w:p>
      <w:r>
        <w:t>4. ผลลัพธ์ด้านสิ่งแวดล้อม (Environmental Compliance)</w:t>
      </w:r>
    </w:p>
    <w:p>
      <w:r>
        <w:t xml:space="preserve">   - ปริมาณฝุ่นละออง (Particulate Matter: PM) ที่ระบายออกจากปล่อง มีค่าเฉลี่ยที่ [ 45 ] mg/Nm3 (กฎหมายกำหนดไม่เกิน 320 mg/Nm3 สำหรับชีวมวล)</w:t>
      </w:r>
    </w:p>
    <w:p>
      <w:r>
        <w:t xml:space="preserve">   - ก๊าซ CO และ NOx อยู่ในเกณฑ์มาตรฐาน 100% ผ่านการรับรองจากการตรวจวัดโดยหน่วยงานภายนอก (Third Party Emission Test)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การประเมินผลลัพธ์และผลกระทบของการแก้ไขปัญหา</w:t>
      </w:r>
    </w:p>
    <w:p>
      <w:r>
        <w:t>การอำนวยการใช้หม้อไอน้ำอย่างมีประสิทธิภาพ ก่อให้เกิดผลกระทบเชิงบวกในมิติระดับองค์กร ดังนี้:</w:t>
      </w:r>
    </w:p>
    <w:p>
      <w:r>
        <w:t>ด้านเศรษฐศาสตร์ (Economic Impact): การเพิ่มประสิทธิภาพหม้อไอน้ำขึ้น 3.5% และการลดเปอร์เซ็นต์ Blowdown ช่วยให้โรงงานลดต้นทุนการซื้อเชื้อเพลิงชีวมวลได้มากกว่า [ 5,000,000 ] บาทต่อปี นอกจากนี้ การหลีกเลี่ยง Unplanned Outage ช่วยรักษาเสถียรภาพการผลิตของโรงงาน คิดเป็นมูลค่าการเสียโอกาส (Opportunity Cost) ที่ป้องกันได้หลักสิบล้านบาท</w:t>
      </w:r>
    </w:p>
    <w:p>
      <w:r>
        <w:t>ด้านความปลอดภัยและอาชีวอนามัย (Safety Impact): การบริหารจัดการระบบ Safety Interlock อย่างเข้มงวด ทำให้พนักงานเดินเครื่อง (Operator) ปฏิบัติงานด้วยความมั่นใจ ไม่มีความเสี่ยงจากการระเบิดหรือไอน้ำแรงดันสูงรั่วไหล สถิติอุบัติเหตุเป็นศูนย์ (Zero Accident)</w:t>
      </w:r>
    </w:p>
    <w:p>
      <w:r>
        <w:t>ด้านวิศวกรรมและการพัฒนาทักษะ (Engineering &amp; Capacity Building): ผู้เขียนได้จัดทำคู่มือการปฏิบัติงาน (Standard Operating Procedures: SOP) และจัดอบรมถ่ายทอดความรู้ด้านอุณหพลศาสตร์และระบบควบคุมให้แก่วิศวกรจบใหม่และช่างเทคนิค ยกระดับความสามารถของบุคลากรภายในองค์กรให้เป็นไปตามมาตรฐานวิศวกรรม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บทสรุป</w:t>
      </w:r>
    </w:p>
    <w:p>
      <w:r>
        <w:t>รายงานฉบับนี้นำเสนอผลการดำเนินงานวิศวกรรมด้านการอำนวยการใช้หม้อไอน้ำอุตสาหกรรม (Boiler Operation Management) ขนาด [ 50 ] ตัน/ชั่วโมง ความดัน [ 40 ] บาร์ ของ [ชื่อบริษัท] ซึ่งเป็นภารกิจที่บูรณาการความรู้ด้านอุณหพลศาสตร์ การจัดการพลังงาน เคมีวิศวกรรม และความปลอดภัยทางอุตสาหกรรมเข้าด้วยกัน</w:t>
      </w:r>
    </w:p>
    <w:p>
      <w:r>
        <w:t>ด้วยบทบาทการเป็นผู้อำนวยการใช้ ผู้เขียนได้ประยุกต์ใช้หลักการทางวิศวกรรมในการเพิ่มประสิทธิภาพการเผาไหม้ชีวมวล ควบคุมวัฏจักรของน้ำเพื่อลดความสูญเสีย จัดการความเสี่ยงด้านความล้าของวัสดุ (Material Fatigue) และรักษาสภาพแวดล้อมให้เป็นไปตามที่กฎหมายกำหนด ผลลัพธ์ที่ได้พิสูจน์ให้เห็นถึงความสำเร็จในการลดต้นทุนเชื้อเพลิงหลายล้านบาทต่อปี และรักษาเสถียรภาพการผลิตกระแสไฟฟ้าและไอน้ำได้อย่างยั่งยืน</w:t>
      </w:r>
    </w:p>
    <w:p>
      <w:r>
        <w:t>ความสำเร็จในงานอำนวยการใช้นี้ สะท้อนถึงวุฒิภาวะทางวิศวกรรม (Engineering Maturity) การคิดวิเคราะห์เชิงระบบ (Systems Thinking) และการเป็นผู้นำในการตัดสินใจแก้ปัญหาที่ซับซ้อน สอดคล้องตามจรรยาบรรณแห่งวิชาชีพวิศวกรรม อันเป็นคุณสมบัติของการปฏิบัติงานในระดับวุฒิวิศวกร สาขาเครื่องกล อย่างครบถ้วนสมบูรณ์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เอกสารอ้างอิง</w:t>
      </w:r>
    </w:p>
    <w:p>
      <w:r>
        <w:t>1. The American Society of Mechanical Engineers (ASME). ASME Boiler and Pressure Vessel Code Section VII: Recommended Guidelines for the Care of Power Boilers.</w:t>
      </w:r>
    </w:p>
    <w:p>
      <w:r>
        <w:t>2. The American Society of Mechanical Engineers (ASME). ASME PTC 4.1: Performance Test Codes - Steam Generating Units.</w:t>
      </w:r>
    </w:p>
    <w:p>
      <w:r>
        <w:t>3. กระทรวงอุตสาหกรรม. ประกาศกระทรวงอุตสาหกรรม เรื่อง มาตรการความปลอดภัยเกี่ยวกับหม้อไอน้ำและหม้อต้มที่ใช้ของเหลวเป็นสื่อนำความร้อน พ.ศ. 2549.</w:t>
      </w:r>
    </w:p>
    <w:p>
      <w:r>
        <w:t>4. วิศวกรรมสถานแห่งประเทศไทย ในพระบรมราชูปถัมภ์ (วสท.). คู่มือวิศวกรรมหม้อไอน้ำและการอำนวยการใช้.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ภาคผนวก</w:t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ก: บันทึกข้อมูลผลการดำเนินงานและประสิทธิภาพการเผาไหม้ (Boiler Efficiency Log)</w:t>
      </w:r>
    </w:p>
    <w:p>
      <w:r>
        <w:t>ข้อมูลเฉลี่ยเปรียบเทียบสภาวะก่อนและหลังการปรับปรุงทางวิศวกรรม (Optimization)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พารามิเตอร์ (Parameters)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หน่วยวัด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ก่อนปรับปรุง (Baseline)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หลังปรับปรุง (Optimized)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ผลการวิเคราะห์</w:t>
            </w:r>
          </w:p>
        </w:tc>
      </w:tr>
      <w:tr>
        <w:tc>
          <w:tcPr>
            <w:tcW w:type="dxa" w:w="1728"/>
          </w:tcPr>
          <w:p>
            <w:r>
              <w:t>ปริมาณการผลิตไอน้ำ (Steam Flow)</w:t>
            </w:r>
          </w:p>
        </w:tc>
        <w:tc>
          <w:tcPr>
            <w:tcW w:type="dxa" w:w="1728"/>
          </w:tcPr>
          <w:p>
            <w:r>
              <w:t>Ton/hr</w:t>
            </w:r>
          </w:p>
        </w:tc>
        <w:tc>
          <w:tcPr>
            <w:tcW w:type="dxa" w:w="1728"/>
          </w:tcPr>
          <w:p>
            <w:r>
              <w:t>45.0</w:t>
            </w:r>
          </w:p>
        </w:tc>
        <w:tc>
          <w:tcPr>
            <w:tcW w:type="dxa" w:w="1728"/>
          </w:tcPr>
          <w:p>
            <w:r>
              <w:t>45.0</w:t>
            </w:r>
          </w:p>
        </w:tc>
        <w:tc>
          <w:tcPr>
            <w:tcW w:type="dxa" w:w="1728"/>
          </w:tcPr>
          <w:p>
            <w:r>
              <w:t>ควบคุมโหลดคงที่</w:t>
            </w:r>
          </w:p>
        </w:tc>
      </w:tr>
      <w:tr>
        <w:tc>
          <w:tcPr>
            <w:tcW w:type="dxa" w:w="1728"/>
          </w:tcPr>
          <w:p>
            <w:r>
              <w:t>ก๊าซออกซิเจนส่วนเกิน (Excess O2)</w:t>
            </w:r>
          </w:p>
        </w:tc>
        <w:tc>
          <w:tcPr>
            <w:tcW w:type="dxa" w:w="1728"/>
          </w:tcPr>
          <w:p>
            <w:r>
              <w:t>%</w:t>
            </w:r>
          </w:p>
        </w:tc>
        <w:tc>
          <w:tcPr>
            <w:tcW w:type="dxa" w:w="1728"/>
          </w:tcPr>
          <w:p>
            <w:r>
              <w:t>8.0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ลด Excess Air ได้ 40%</w:t>
            </w:r>
          </w:p>
        </w:tc>
      </w:tr>
      <w:tr>
        <w:tc>
          <w:tcPr>
            <w:tcW w:type="dxa" w:w="1728"/>
          </w:tcPr>
          <w:p>
            <w:r>
              <w:t>อุณหภูมิไอเสีย (Flue Gas Temp)</w:t>
            </w:r>
          </w:p>
        </w:tc>
        <w:tc>
          <w:tcPr>
            <w:tcW w:type="dxa" w:w="1728"/>
          </w:tcPr>
          <w:p>
            <w:r>
              <w:t>°C</w:t>
            </w:r>
          </w:p>
        </w:tc>
        <w:tc>
          <w:tcPr>
            <w:tcW w:type="dxa" w:w="1728"/>
          </w:tcPr>
          <w:p>
            <w:r>
              <w:t>180.5</w:t>
            </w:r>
          </w:p>
        </w:tc>
        <w:tc>
          <w:tcPr>
            <w:tcW w:type="dxa" w:w="1728"/>
          </w:tcPr>
          <w:p>
            <w:r>
              <w:t>155.0</w:t>
            </w:r>
          </w:p>
        </w:tc>
        <w:tc>
          <w:tcPr>
            <w:tcW w:type="dxa" w:w="1728"/>
          </w:tcPr>
          <w:p>
            <w:r>
              <w:t>Heat Loss L1 ลดลง</w:t>
            </w:r>
          </w:p>
        </w:tc>
      </w:tr>
      <w:tr>
        <w:tc>
          <w:tcPr>
            <w:tcW w:type="dxa" w:w="1728"/>
          </w:tcPr>
          <w:p>
            <w:r>
              <w:t>อัตราการใช้เชื้อเพลิง (Fuel Rate)</w:t>
            </w:r>
          </w:p>
        </w:tc>
        <w:tc>
          <w:tcPr>
            <w:tcW w:type="dxa" w:w="1728"/>
          </w:tcPr>
          <w:p>
            <w:r>
              <w:t>Ton/hr</w:t>
            </w:r>
          </w:p>
        </w:tc>
        <w:tc>
          <w:tcPr>
            <w:tcW w:type="dxa" w:w="1728"/>
          </w:tcPr>
          <w:p>
            <w:r>
              <w:t>12.8</w:t>
            </w:r>
          </w:p>
        </w:tc>
        <w:tc>
          <w:tcPr>
            <w:tcW w:type="dxa" w:w="1728"/>
          </w:tcPr>
          <w:p>
            <w:r>
              <w:t>12.3</w:t>
            </w:r>
          </w:p>
        </w:tc>
        <w:tc>
          <w:tcPr>
            <w:tcW w:type="dxa" w:w="1728"/>
          </w:tcPr>
          <w:p>
            <w:r>
              <w:t>ลดเชื้อเพลิงได้ 0.5 T/hr</w:t>
            </w:r>
          </w:p>
        </w:tc>
      </w:tr>
      <w:tr>
        <w:tc>
          <w:tcPr>
            <w:tcW w:type="dxa" w:w="1728"/>
          </w:tcPr>
          <w:p>
            <w:r>
              <w:t>ประสิทธิภาพรวม (Efficiency - Indirect)</w:t>
            </w:r>
          </w:p>
        </w:tc>
        <w:tc>
          <w:tcPr>
            <w:tcW w:type="dxa" w:w="1728"/>
          </w:tcPr>
          <w:p>
            <w:r>
              <w:t>%</w:t>
            </w:r>
          </w:p>
        </w:tc>
        <w:tc>
          <w:tcPr>
            <w:tcW w:type="dxa" w:w="1728"/>
          </w:tcPr>
          <w:p>
            <w:r>
              <w:t>78.5</w:t>
            </w:r>
          </w:p>
        </w:tc>
        <w:tc>
          <w:tcPr>
            <w:tcW w:type="dxa" w:w="1728"/>
          </w:tcPr>
          <w:p>
            <w:r>
              <w:t>82.0</w:t>
            </w:r>
          </w:p>
        </w:tc>
        <w:tc>
          <w:tcPr>
            <w:tcW w:type="dxa" w:w="1728"/>
          </w:tcPr>
          <w:p>
            <w:r>
              <w:t>ประสิทธิภาพเพิ่ม 3.5%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ก-1: การตรวจสอบเปลวไฟในห้องเผาไหม้ (Furnace Observation) เพื่อดูสภาวะการกระจายตัวของเชื้อเพลิงชีวมวล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ข: การควบคุมคุณภาพน้ำหม้อไอน้ำ (Boiler Water Chemistry Management)</w:t>
      </w:r>
    </w:p>
    <w:p>
      <w:r>
        <w:t>เกณฑ์มาตรฐานสำหรับการเดินเครื่องที่ความดัน 40 Bar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รายการวิเคราะห์คุณภาพน้ำ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หน่วยวัด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เกณฑ์มาตรฐานควบคุม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ค่าเฉลี่ยที่ควบคุมได้จริง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1728"/>
          </w:tcPr>
          <w:p>
            <w:r>
              <w:t>ความเป็นกรด-ด่าง (pH)</w:t>
            </w:r>
          </w:p>
        </w:tc>
        <w:tc>
          <w:tcPr>
            <w:tcW w:type="dxa" w:w="1728"/>
          </w:tcPr>
          <w:p>
            <w:r>
              <w:t>-</w:t>
            </w:r>
          </w:p>
        </w:tc>
        <w:tc>
          <w:tcPr>
            <w:tcW w:type="dxa" w:w="1728"/>
          </w:tcPr>
          <w:p>
            <w:r>
              <w:t>10.0 - 11.5</w:t>
            </w:r>
          </w:p>
        </w:tc>
        <w:tc>
          <w:tcPr>
            <w:tcW w:type="dxa" w:w="1728"/>
          </w:tcPr>
          <w:p>
            <w:r>
              <w:t>10.5</w:t>
            </w:r>
          </w:p>
        </w:tc>
        <w:tc>
          <w:tcPr>
            <w:tcW w:type="dxa" w:w="1728"/>
          </w:tcPr>
          <w:p>
            <w:r>
              <w:t>ผ่าน (ป้องกันสนิม)</w:t>
            </w:r>
          </w:p>
        </w:tc>
      </w:tr>
      <w:tr>
        <w:tc>
          <w:tcPr>
            <w:tcW w:type="dxa" w:w="1728"/>
          </w:tcPr>
          <w:p>
            <w:r>
              <w:t>ปริมาณสารละลายรวม (TDS)</w:t>
            </w:r>
          </w:p>
        </w:tc>
        <w:tc>
          <w:tcPr>
            <w:tcW w:type="dxa" w:w="1728"/>
          </w:tcPr>
          <w:p>
            <w:r>
              <w:t>ppm</w:t>
            </w:r>
          </w:p>
        </w:tc>
        <w:tc>
          <w:tcPr>
            <w:tcW w:type="dxa" w:w="1728"/>
          </w:tcPr>
          <w:p>
            <w:r>
              <w:t>≤ 2,000</w:t>
            </w:r>
          </w:p>
        </w:tc>
        <w:tc>
          <w:tcPr>
            <w:tcW w:type="dxa" w:w="1728"/>
          </w:tcPr>
          <w:p>
            <w:r>
              <w:t>1,500 - 1,800</w:t>
            </w:r>
          </w:p>
        </w:tc>
        <w:tc>
          <w:tcPr>
            <w:tcW w:type="dxa" w:w="1728"/>
          </w:tcPr>
          <w:p>
            <w:r>
              <w:t>ผ่าน (ปรับ Blowdown 2%)</w:t>
            </w:r>
          </w:p>
        </w:tc>
      </w:tr>
      <w:tr>
        <w:tc>
          <w:tcPr>
            <w:tcW w:type="dxa" w:w="1728"/>
          </w:tcPr>
          <w:p>
            <w:r>
              <w:t>ซิลิกา (Silica - SiO2)</w:t>
            </w:r>
          </w:p>
        </w:tc>
        <w:tc>
          <w:tcPr>
            <w:tcW w:type="dxa" w:w="1728"/>
          </w:tcPr>
          <w:p>
            <w:r>
              <w:t>ppm</w:t>
            </w:r>
          </w:p>
        </w:tc>
        <w:tc>
          <w:tcPr>
            <w:tcW w:type="dxa" w:w="1728"/>
          </w:tcPr>
          <w:p>
            <w:r>
              <w:t>≤ 40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ผ่าน (ลดปัญหาตะกรัน)</w:t>
            </w:r>
          </w:p>
        </w:tc>
      </w:tr>
      <w:tr>
        <w:tc>
          <w:tcPr>
            <w:tcW w:type="dxa" w:w="1728"/>
          </w:tcPr>
          <w:p>
            <w:r>
              <w:t>ความกระด้างรวม (Total Hardness)</w:t>
            </w:r>
          </w:p>
        </w:tc>
        <w:tc>
          <w:tcPr>
            <w:tcW w:type="dxa" w:w="1728"/>
          </w:tcPr>
          <w:p>
            <w:r>
              <w:t>ppm as CaCO3</w:t>
            </w:r>
          </w:p>
        </w:tc>
        <w:tc>
          <w:tcPr>
            <w:tcW w:type="dxa" w:w="1728"/>
          </w:tcPr>
          <w:p>
            <w:r>
              <w:t>ND (Not Detected)</w:t>
            </w:r>
          </w:p>
        </w:tc>
        <w:tc>
          <w:tcPr>
            <w:tcW w:type="dxa" w:w="1728"/>
          </w:tcPr>
          <w:p>
            <w:r>
              <w:t>ND</w:t>
            </w:r>
          </w:p>
        </w:tc>
        <w:tc>
          <w:tcPr>
            <w:tcW w:type="dxa" w:w="1728"/>
          </w:tcPr>
          <w:p>
            <w:r>
              <w:t>ผ่าน (RO/Softener ปกติ)</w:t>
            </w:r>
          </w:p>
        </w:tc>
      </w:tr>
      <w:tr>
        <w:tc>
          <w:tcPr>
            <w:tcW w:type="dxa" w:w="1728"/>
          </w:tcPr>
          <w:p>
            <w:r>
              <w:t>ปริมาณฟอสเฟต (Phosphate - PO4)</w:t>
            </w:r>
          </w:p>
        </w:tc>
        <w:tc>
          <w:tcPr>
            <w:tcW w:type="dxa" w:w="1728"/>
          </w:tcPr>
          <w:p>
            <w:r>
              <w:t>ppm</w:t>
            </w:r>
          </w:p>
        </w:tc>
        <w:tc>
          <w:tcPr>
            <w:tcW w:type="dxa" w:w="1728"/>
          </w:tcPr>
          <w:p>
            <w:r>
              <w:t>20 - 40</w:t>
            </w:r>
          </w:p>
        </w:tc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ผ่าน (รักษาเคมีเหมาะสม)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ข-1: รายงานการทดสอบคุณภาพน้ำจากห้องปฏิบัติการ (Water Lab Report) ของโรงงาน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ค: ผลการทดสอบและควบคุมอุปกรณ์ความปลอดภัย (Safety &amp; Interlock Checklist)</w:t>
      </w:r>
    </w:p>
    <w:p>
      <w:r>
        <w:t>ดำเนินการทดสอบการจำลองสภาวะ (Simulation Test) ประจำเดือน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ระบบควบคุมและอุปกรณ์นิรภัย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สภาวะทดสอบ / การตั้งค่า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ผลการตอบสนองของระบบ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2160"/>
          </w:tcPr>
          <w:p>
            <w:r>
              <w:t>ระบบป้องกันน้ำแห้ง (Low Water Cut-off)</w:t>
            </w:r>
          </w:p>
        </w:tc>
        <w:tc>
          <w:tcPr>
            <w:tcW w:type="dxa" w:w="2160"/>
          </w:tcPr>
          <w:p>
            <w:r>
              <w:t>จำลองระดับน้ำลดต่ำกว่า LWL</w:t>
            </w:r>
          </w:p>
        </w:tc>
        <w:tc>
          <w:tcPr>
            <w:tcW w:type="dxa" w:w="2160"/>
          </w:tcPr>
          <w:p>
            <w:r>
              <w:t>DCS สั่งตัดการทำงานเชื้อเพลิงและพัดลมทันที</w:t>
            </w:r>
          </w:p>
        </w:tc>
        <w:tc>
          <w:tcPr>
            <w:tcW w:type="dxa" w:w="2160"/>
          </w:tcPr>
          <w:p>
            <w:r>
              <w:t>ผ่าน</w:t>
            </w:r>
          </w:p>
        </w:tc>
      </w:tr>
      <w:tr>
        <w:tc>
          <w:tcPr>
            <w:tcW w:type="dxa" w:w="2160"/>
          </w:tcPr>
          <w:p>
            <w:r>
              <w:t>ระบบป้องกันความดันเกิน (High Pressure Trip)</w:t>
            </w:r>
          </w:p>
        </w:tc>
        <w:tc>
          <w:tcPr>
            <w:tcW w:type="dxa" w:w="2160"/>
          </w:tcPr>
          <w:p>
            <w:r>
              <w:t>จำลองความดันสูงถึง 42 Bar</w:t>
            </w:r>
          </w:p>
        </w:tc>
        <w:tc>
          <w:tcPr>
            <w:tcW w:type="dxa" w:w="2160"/>
          </w:tcPr>
          <w:p>
            <w:r>
              <w:t>ระบบตัดการป้อนเชื้อเพลิง / หยุดพัดลม FD Fan</w:t>
            </w:r>
          </w:p>
        </w:tc>
        <w:tc>
          <w:tcPr>
            <w:tcW w:type="dxa" w:w="2160"/>
          </w:tcPr>
          <w:p>
            <w:r>
              <w:t>ผ่าน</w:t>
            </w:r>
          </w:p>
        </w:tc>
      </w:tr>
      <w:tr>
        <w:tc>
          <w:tcPr>
            <w:tcW w:type="dxa" w:w="2160"/>
          </w:tcPr>
          <w:p>
            <w:r>
              <w:t>ระบบระบายความดัน (Safety Relief Valve)</w:t>
            </w:r>
          </w:p>
        </w:tc>
        <w:tc>
          <w:tcPr>
            <w:tcW w:type="dxa" w:w="2160"/>
          </w:tcPr>
          <w:p>
            <w:r>
              <w:t>ปรับตั้ง Pop Test (43 Bar)</w:t>
            </w:r>
          </w:p>
        </w:tc>
        <w:tc>
          <w:tcPr>
            <w:tcW w:type="dxa" w:w="2160"/>
          </w:tcPr>
          <w:p>
            <w:r>
              <w:t>วาล์วเปิดระบายแรงดันได้ตามพิกัด 100%</w:t>
            </w:r>
          </w:p>
        </w:tc>
        <w:tc>
          <w:tcPr>
            <w:tcW w:type="dxa" w:w="2160"/>
          </w:tcPr>
          <w:p>
            <w:r>
              <w:t>ผ่าน</w:t>
            </w:r>
          </w:p>
        </w:tc>
      </w:tr>
      <w:tr>
        <w:tc>
          <w:tcPr>
            <w:tcW w:type="dxa" w:w="2160"/>
          </w:tcPr>
          <w:p>
            <w:r>
              <w:t>อุณหภูมิไอน้ำเกิน (High Superheated Temp)</w:t>
            </w:r>
          </w:p>
        </w:tc>
        <w:tc>
          <w:tcPr>
            <w:tcW w:type="dxa" w:w="2160"/>
          </w:tcPr>
          <w:p>
            <w:r>
              <w:t>จำลองอุณหภูมิ &gt; 410 °C</w:t>
            </w:r>
          </w:p>
        </w:tc>
        <w:tc>
          <w:tcPr>
            <w:tcW w:type="dxa" w:w="2160"/>
          </w:tcPr>
          <w:p>
            <w:r>
              <w:t>วาล์ว Attemperator เปิดสเปรย์น้ำลดอุณหภูมิ</w:t>
            </w:r>
          </w:p>
        </w:tc>
        <w:tc>
          <w:tcPr>
            <w:tcW w:type="dxa" w:w="2160"/>
          </w:tcPr>
          <w:p>
            <w:r>
              <w:t>ผ่าน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ค-1: การทดสอบวงจร Safety Interlock บนระบบควบคุมอัตโนมัติ (DCS)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ง: การตรวจวัดมลพิษทางอากาศ (Environmental Emission Control)</w:t>
      </w:r>
    </w:p>
    <w:p>
      <w:r>
        <w:t>ผลการตรวจวัดโดย Third Party (หน่วยงานภายนอกที่ขึ้นทะเบียนกับกรมโรงงาน)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รายการตรวจวัด (Parameters)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หน่วยวัด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มาตรฐานกรมโรงงานฯ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ผลการตรวจวัดเฉลี่ย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1728"/>
          </w:tcPr>
          <w:p>
            <w:r>
              <w:t>ฝุ่นละอองขนาดเล็ก (Particulate Matter)</w:t>
            </w:r>
          </w:p>
        </w:tc>
        <w:tc>
          <w:tcPr>
            <w:tcW w:type="dxa" w:w="1728"/>
          </w:tcPr>
          <w:p>
            <w:r>
              <w:t>mg/Nm3</w:t>
            </w:r>
          </w:p>
        </w:tc>
        <w:tc>
          <w:tcPr>
            <w:tcW w:type="dxa" w:w="1728"/>
          </w:tcPr>
          <w:p>
            <w:r>
              <w:t>≤ 320</w:t>
            </w:r>
          </w:p>
        </w:tc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ผ่าน (ESP ทำงาน 99% Eff)</w:t>
            </w:r>
          </w:p>
        </w:tc>
      </w:tr>
      <w:tr>
        <w:tc>
          <w:tcPr>
            <w:tcW w:type="dxa" w:w="1728"/>
          </w:tcPr>
          <w:p>
            <w:r>
              <w:t>ก๊าซคาร์บอนมอนอกไซด์ (CO)</w:t>
            </w:r>
          </w:p>
        </w:tc>
        <w:tc>
          <w:tcPr>
            <w:tcW w:type="dxa" w:w="1728"/>
          </w:tcPr>
          <w:p>
            <w:r>
              <w:t>ppm</w:t>
            </w:r>
          </w:p>
        </w:tc>
        <w:tc>
          <w:tcPr>
            <w:tcW w:type="dxa" w:w="1728"/>
          </w:tcPr>
          <w:p>
            <w:r>
              <w:t>≤ 870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ผ่าน (เผาไหม้สมบูรณ์)</w:t>
            </w:r>
          </w:p>
        </w:tc>
      </w:tr>
      <w:tr>
        <w:tc>
          <w:tcPr>
            <w:tcW w:type="dxa" w:w="1728"/>
          </w:tcPr>
          <w:p>
            <w:r>
              <w:t>ก๊าซออกไซด์ของไนโตรเจน (NOx)</w:t>
            </w:r>
          </w:p>
        </w:tc>
        <w:tc>
          <w:tcPr>
            <w:tcW w:type="dxa" w:w="1728"/>
          </w:tcPr>
          <w:p>
            <w:r>
              <w:t>ppm</w:t>
            </w:r>
          </w:p>
        </w:tc>
        <w:tc>
          <w:tcPr>
            <w:tcW w:type="dxa" w:w="1728"/>
          </w:tcPr>
          <w:p>
            <w:r>
              <w:t>≤ 200</w:t>
            </w:r>
          </w:p>
        </w:tc>
        <w:tc>
          <w:tcPr>
            <w:tcW w:type="dxa" w:w="1728"/>
          </w:tcPr>
          <w:p>
            <w:r>
              <w:t>120</w:t>
            </w:r>
          </w:p>
        </w:tc>
        <w:tc>
          <w:tcPr>
            <w:tcW w:type="dxa" w:w="1728"/>
          </w:tcPr>
          <w:p>
            <w:r>
              <w:t>ผ่าน (คุมอุณหภูมิเตาดี)</w:t>
            </w:r>
          </w:p>
        </w:tc>
      </w:tr>
      <w:tr>
        <w:tc>
          <w:tcPr>
            <w:tcW w:type="dxa" w:w="1728"/>
          </w:tcPr>
          <w:p>
            <w:r>
              <w:t>ก๊าซซัลเฟอร์ไดออกไซด์ (SO2)</w:t>
            </w:r>
          </w:p>
        </w:tc>
        <w:tc>
          <w:tcPr>
            <w:tcW w:type="dxa" w:w="1728"/>
          </w:tcPr>
          <w:p>
            <w:r>
              <w:t>ppm</w:t>
            </w:r>
          </w:p>
        </w:tc>
        <w:tc>
          <w:tcPr>
            <w:tcW w:type="dxa" w:w="1728"/>
          </w:tcPr>
          <w:p>
            <w:r>
              <w:t>≤ 60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ผ่าน (ชีวมวลมี Sulfur ต่ำ)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ง-1: การตรวจวัดมลพิษที่ปล่องระบายไอเสีย (Stack Emission Test)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จ: การตรวจสอบเชิงป้องกันระหว่างหยุดเครื่องประจำปี (Annual Turnaround Inspection)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ชิ้นส่วนหม้อไอน้ำ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วิธีการตรวจสอบ (NDT/Visual)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สิ่งที่ตรวจพบ / การดำเนินการ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b/>
              </w:rPr>
              <w:t>ประเมินผลอายุงาน</w:t>
            </w:r>
          </w:p>
        </w:tc>
      </w:tr>
      <w:tr>
        <w:tc>
          <w:tcPr>
            <w:tcW w:type="dxa" w:w="2160"/>
          </w:tcPr>
          <w:p>
            <w:r>
              <w:t>Superheater Tubes</w:t>
            </w:r>
          </w:p>
        </w:tc>
        <w:tc>
          <w:tcPr>
            <w:tcW w:type="dxa" w:w="2160"/>
          </w:tcPr>
          <w:p>
            <w:r>
              <w:t>UT Thickness Measurement</w:t>
            </w:r>
          </w:p>
        </w:tc>
        <w:tc>
          <w:tcPr>
            <w:tcW w:type="dxa" w:w="2160"/>
          </w:tcPr>
          <w:p>
            <w:r>
              <w:t>ความหนาลดลง 0.5 มม. ยังมากกว่า t_min</w:t>
            </w:r>
          </w:p>
        </w:tc>
        <w:tc>
          <w:tcPr>
            <w:tcW w:type="dxa" w:w="2160"/>
          </w:tcPr>
          <w:p>
            <w:r>
              <w:t>ใช้งานต่อได้ปกติ</w:t>
            </w:r>
          </w:p>
        </w:tc>
      </w:tr>
      <w:tr>
        <w:tc>
          <w:tcPr>
            <w:tcW w:type="dxa" w:w="2160"/>
          </w:tcPr>
          <w:p>
            <w:r>
              <w:t>Furnace Wall Tubes</w:t>
            </w:r>
          </w:p>
        </w:tc>
        <w:tc>
          <w:tcPr>
            <w:tcW w:type="dxa" w:w="2160"/>
          </w:tcPr>
          <w:p>
            <w:r>
              <w:t>Visual / Clinker Check</w:t>
            </w:r>
          </w:p>
        </w:tc>
        <w:tc>
          <w:tcPr>
            <w:tcW w:type="dxa" w:w="2160"/>
          </w:tcPr>
          <w:p>
            <w:r>
              <w:t>พบคราบตะกรันไฟเกาะเล็กน้อย สั่งล้างน้ำแรงดันสูง</w:t>
            </w:r>
          </w:p>
        </w:tc>
        <w:tc>
          <w:tcPr>
            <w:tcW w:type="dxa" w:w="2160"/>
          </w:tcPr>
          <w:p>
            <w:r>
              <w:t>ใช้งานต่อได้ปกติ</w:t>
            </w:r>
          </w:p>
        </w:tc>
      </w:tr>
      <w:tr>
        <w:tc>
          <w:tcPr>
            <w:tcW w:type="dxa" w:w="2160"/>
          </w:tcPr>
          <w:p>
            <w:r>
              <w:t>Boiler Drum (ภายใน)</w:t>
            </w:r>
          </w:p>
        </w:tc>
        <w:tc>
          <w:tcPr>
            <w:tcW w:type="dxa" w:w="2160"/>
          </w:tcPr>
          <w:p>
            <w:r>
              <w:t>Confined Space / MT รอยเชื่อม</w:t>
            </w:r>
          </w:p>
        </w:tc>
        <w:tc>
          <w:tcPr>
            <w:tcW w:type="dxa" w:w="2160"/>
          </w:tcPr>
          <w:p>
            <w:r>
              <w:t>ไม่มีคราบตะกรันน้ำหนา ไม่พบรอยแตกร้าว</w:t>
            </w:r>
          </w:p>
        </w:tc>
        <w:tc>
          <w:tcPr>
            <w:tcW w:type="dxa" w:w="2160"/>
          </w:tcPr>
          <w:p>
            <w:r>
              <w:t>สมบูรณ์</w:t>
            </w:r>
          </w:p>
        </w:tc>
      </w:tr>
      <w:tr>
        <w:tc>
          <w:tcPr>
            <w:tcW w:type="dxa" w:w="2160"/>
          </w:tcPr>
          <w:p>
            <w:r>
              <w:t>Grate Stoker (ชุดตะกรับ)</w:t>
            </w:r>
          </w:p>
        </w:tc>
        <w:tc>
          <w:tcPr>
            <w:tcW w:type="dxa" w:w="2160"/>
          </w:tcPr>
          <w:p>
            <w:r>
              <w:t>Visual / Mechanical Check</w:t>
            </w:r>
          </w:p>
        </w:tc>
        <w:tc>
          <w:tcPr>
            <w:tcW w:type="dxa" w:w="2160"/>
          </w:tcPr>
          <w:p>
            <w:r>
              <w:t>พบลูกกลิ้งบางตัวฝืด สั่งเปลี่ยนอะไหล่</w:t>
            </w:r>
          </w:p>
        </w:tc>
        <w:tc>
          <w:tcPr>
            <w:tcW w:type="dxa" w:w="2160"/>
          </w:tcPr>
          <w:p>
            <w:r>
              <w:t>พร้อมเดินเครื่อง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จ-1: การมุดตรวจสอบสภาพท่อภายในเตา (Furnace Inspection) ระหว่างหยุดซ่อมบำรุง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ฉ: หนังสือรับรองและใบอนุญาตประกอบวิชาชีพวิศวกรรม</w:t>
      </w:r>
    </w:p>
    <w:p>
      <w:r>
        <w:t>เอกสารขึ้นทะเบียนผู้ควบคุมประจำหม้อไอน้ำ และใบอนุญาตประกอบวิชาชีพวิศวกรรมควบคุม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ฉ-1: สำเนาใบอนุญาตประกอบวิชาชีพวิศวกรรมควบคุม (กว.) และเอกสารแต่งตั้งผู้ควบคุมหม้อไอน้ำ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